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/>
        <w:jc w:val="center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Справка</w:t>
      </w:r>
      <w:r/>
    </w:p>
    <w:p>
      <w:pPr>
        <w:pStyle w:val="Normal"/>
        <w:spacing w:lineRule="auto" w:line="240"/>
        <w:jc w:val="center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об итогах работы УФССП России по Тверской области</w:t>
      </w:r>
      <w:r/>
    </w:p>
    <w:p>
      <w:pPr>
        <w:pStyle w:val="Normal"/>
        <w:spacing w:lineRule="auto" w:line="240"/>
        <w:jc w:val="center"/>
      </w:pPr>
      <w:r>
        <w:rPr>
          <w:rFonts w:cs="Times New Roman" w:ascii="Times New Roman" w:hAnsi="Times New Roman"/>
          <w:sz w:val="28"/>
          <w:szCs w:val="28"/>
        </w:rPr>
        <w:t xml:space="preserve">по профилактике коррупционных и иных правонарушений в </w:t>
      </w:r>
      <w:r>
        <w:rPr>
          <w:rFonts w:cs="Times New Roman" w:ascii="Times New Roman" w:hAnsi="Times New Roman"/>
          <w:sz w:val="28"/>
          <w:szCs w:val="28"/>
        </w:rPr>
        <w:t xml:space="preserve">1 полугодии </w:t>
      </w:r>
      <w:r>
        <w:rPr>
          <w:rFonts w:cs="Times New Roman" w:ascii="Times New Roman" w:hAnsi="Times New Roman"/>
          <w:sz w:val="28"/>
          <w:szCs w:val="28"/>
        </w:rPr>
        <w:t>201</w:t>
      </w:r>
      <w:r>
        <w:rPr>
          <w:rFonts w:cs="Times New Roman" w:ascii="Times New Roman" w:hAnsi="Times New Roman"/>
          <w:sz w:val="28"/>
          <w:szCs w:val="28"/>
        </w:rPr>
        <w:t>8</w:t>
      </w:r>
      <w:r>
        <w:rPr>
          <w:rFonts w:cs="Times New Roman" w:ascii="Times New Roman" w:hAnsi="Times New Roman"/>
          <w:sz w:val="28"/>
          <w:szCs w:val="28"/>
        </w:rPr>
        <w:t xml:space="preserve"> году</w:t>
      </w:r>
      <w:r/>
    </w:p>
    <w:p>
      <w:pPr>
        <w:pStyle w:val="Normal"/>
        <w:spacing w:lineRule="auto" w:line="240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</w:r>
      <w:r/>
    </w:p>
    <w:p>
      <w:pPr>
        <w:pStyle w:val="Normal"/>
        <w:spacing w:lineRule="auto" w:line="240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</w:r>
      <w:r/>
    </w:p>
    <w:p>
      <w:pPr>
        <w:pStyle w:val="Normal"/>
        <w:spacing w:lineRule="auto" w:line="240"/>
        <w:ind w:firstLine="708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Управление Федеральной службы судебных приставов по Тверской области (далее – Управление) в первом полугодии  2018 года на плановой основе проводило мероприятия, направленные на противодействие коррупции, выявление, предупреждение и пресечение коррупционных и иных правонарушений со стороны государственных гражданских служащих, профилактике взяточничества и пропаганде деятельности ФССП России по противодействию коррупции среди государственных гражданских служащих, формирование у них нетерпимого отношения к коррупционному поведению.</w:t>
      </w:r>
      <w:r/>
    </w:p>
    <w:p>
      <w:pPr>
        <w:pStyle w:val="Style18"/>
        <w:spacing w:before="0" w:after="0"/>
        <w:jc w:val="both"/>
        <w:rPr>
          <w:sz w:val="28"/>
          <w:sz w:val="28"/>
          <w:szCs w:val="28"/>
          <w:rFonts w:cs="Times New Roman"/>
          <w:lang w:val="ru-RU"/>
        </w:rPr>
      </w:pPr>
      <w:r>
        <w:rPr>
          <w:rFonts w:cs="Times New Roman"/>
          <w:sz w:val="28"/>
          <w:szCs w:val="28"/>
          <w:lang w:val="ru-RU"/>
        </w:rPr>
        <w:tab/>
        <w:t xml:space="preserve">В Управлении организована работы по уведомлению государственными гражданскими служащими о фактах обращения к ним с целью склонения </w:t>
        <w:br/>
        <w:t xml:space="preserve">к совершению коррупционных правонарушений. </w:t>
      </w:r>
      <w:r/>
    </w:p>
    <w:p>
      <w:pPr>
        <w:pStyle w:val="Style18"/>
        <w:spacing w:before="0" w:after="0"/>
        <w:jc w:val="both"/>
        <w:rPr>
          <w:sz w:val="28"/>
          <w:sz w:val="28"/>
          <w:szCs w:val="28"/>
          <w:rFonts w:cs="Times New Roman"/>
          <w:lang w:val="ru-RU"/>
        </w:rPr>
      </w:pPr>
      <w:r>
        <w:rPr>
          <w:rFonts w:cs="Times New Roman"/>
          <w:sz w:val="28"/>
          <w:szCs w:val="28"/>
          <w:lang w:val="ru-RU"/>
        </w:rPr>
        <w:tab/>
        <w:t>В первом полугодии 2018 года уведомлений о фактах обращения к ним                   в целях склонения совершению коррупционных правонарушений                                             от государственных служащих Управления не поступало.</w:t>
      </w:r>
      <w:r/>
    </w:p>
    <w:p>
      <w:pPr>
        <w:pStyle w:val="Style18"/>
        <w:spacing w:before="0" w:after="0"/>
        <w:jc w:val="both"/>
        <w:rPr>
          <w:sz w:val="28"/>
          <w:sz w:val="28"/>
          <w:szCs w:val="28"/>
          <w:rFonts w:cs="Times New Roman"/>
          <w:lang w:val="ru-RU"/>
        </w:rPr>
      </w:pPr>
      <w:r>
        <w:rPr>
          <w:rFonts w:cs="Times New Roman"/>
          <w:sz w:val="28"/>
          <w:szCs w:val="28"/>
          <w:lang w:val="ru-RU"/>
        </w:rPr>
        <w:tab/>
        <w:t>В первом полугодии 2018 года по материалам Управления в отношении одного гражданского служащего возбуждено уголовное дело:</w:t>
      </w:r>
      <w:r/>
    </w:p>
    <w:p>
      <w:pPr>
        <w:pStyle w:val="Style18"/>
        <w:spacing w:before="0" w:after="0"/>
        <w:ind w:firstLine="708"/>
        <w:jc w:val="both"/>
        <w:rPr>
          <w:sz w:val="28"/>
          <w:sz w:val="28"/>
          <w:szCs w:val="28"/>
          <w:rFonts w:cs="Times New Roman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- 25.01.2018 по материалам Управления правоохранительными органами возбуждено уголовное дело в отношении бывшего судебного пристава-исполнителя Центрального районного отдела судебных приставов г. Твери Ф. по признакам преступления, предусмотренного ч. 1 ст. 286 УК РФ. </w:t>
      </w:r>
      <w:r/>
    </w:p>
    <w:p>
      <w:pPr>
        <w:pStyle w:val="Style18"/>
        <w:spacing w:before="0" w:after="0"/>
        <w:jc w:val="both"/>
        <w:rPr>
          <w:sz w:val="28"/>
          <w:sz w:val="28"/>
          <w:szCs w:val="28"/>
          <w:rFonts w:cs="Times New Roman"/>
          <w:lang w:val="ru-RU"/>
        </w:rPr>
      </w:pPr>
      <w:r>
        <w:rPr>
          <w:rFonts w:cs="Times New Roman"/>
          <w:sz w:val="28"/>
          <w:szCs w:val="28"/>
          <w:lang w:val="ru-RU"/>
        </w:rPr>
        <w:tab/>
        <w:t>В соответствии с приказом ФССП России от 30.05.2016 № 355 «О мерах реагирования при возбуждении уголовных дел в отношении федеральных государственных служащих территориальных органов Федеральной службы судебных приставов» приказом Управления от 29.01.2018 № 24 проведена выездная проверка Центрального РОСП г. Твери.</w:t>
      </w:r>
      <w:r/>
    </w:p>
    <w:p>
      <w:pPr>
        <w:pStyle w:val="Normal"/>
        <w:spacing w:lineRule="auto" w:line="24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ab/>
        <w:t xml:space="preserve">20.07.2018 Московский районный суд г. Твери, рассмотрев ходатайство следователя о прекращении уголовного дела  в связи с назначением меры уголовно-правового характера в виде судебного штрафа  в отношении бывшего судебного пристава-исполнителя Ф.  по признакам преступления, предусмотренного ч. 1 ст. 286 УК РФ, вынес постановление: </w:t>
      </w:r>
      <w:r/>
    </w:p>
    <w:p>
      <w:pPr>
        <w:pStyle w:val="Normal"/>
        <w:spacing w:lineRule="auto" w:line="240"/>
        <w:ind w:firstLine="708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- прекратить уголовное дело в отношении Ф., обвиняемого в совершении преступления, предусмотренного ч. 3 ст. 30, ч. 1 ст. 286 УК РФ,                                     на основании ст. 25.1 УПК РФ;</w:t>
      </w:r>
      <w:r/>
    </w:p>
    <w:p>
      <w:pPr>
        <w:pStyle w:val="Normal"/>
        <w:spacing w:lineRule="auto" w:line="240"/>
        <w:ind w:firstLine="708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 xml:space="preserve">- назначить Ф.  меру уголовно-правового характера в виде судебного штрафа в размере двадцати тысяч рублей в доход государства.    </w:t>
      </w:r>
      <w:r/>
    </w:p>
    <w:p>
      <w:pPr>
        <w:pStyle w:val="Normal"/>
        <w:spacing w:lineRule="auto" w:line="240"/>
        <w:ind w:firstLine="708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Постановление Московского районного суда г. Твери от 20.07.2018   вступило в законную силу 31.07.2018.</w:t>
      </w:r>
      <w:r/>
    </w:p>
    <w:p>
      <w:pPr>
        <w:pStyle w:val="Style18"/>
        <w:spacing w:before="0" w:after="0"/>
        <w:jc w:val="both"/>
        <w:rPr>
          <w:sz w:val="28"/>
          <w:sz w:val="28"/>
          <w:szCs w:val="28"/>
          <w:rFonts w:cs="Times New Roman"/>
          <w:lang w:val="ru-RU"/>
        </w:rPr>
      </w:pPr>
      <w:r>
        <w:rPr>
          <w:rFonts w:cs="Times New Roman"/>
          <w:sz w:val="28"/>
          <w:szCs w:val="28"/>
          <w:lang w:val="ru-RU"/>
        </w:rPr>
        <w:tab/>
        <w:t>В первом полугодии 2018 года старшие судебные приставы и их заместители районных (межрайонных) отделов судебных приставов Управлении продолжали осуществлять проверку сведений о невозможности обращения взыскания на имущество должников, содержащихся в актах исполнительных действий, представленных судебными приставами-исполнителями, проверять законность и обоснованность их составления.</w:t>
      </w:r>
      <w:r/>
    </w:p>
    <w:p>
      <w:pPr>
        <w:pStyle w:val="Style18"/>
        <w:spacing w:before="0" w:after="0"/>
        <w:jc w:val="both"/>
        <w:rPr>
          <w:sz w:val="28"/>
          <w:sz w:val="28"/>
          <w:szCs w:val="28"/>
          <w:rFonts w:cs="Times New Roman"/>
          <w:lang w:val="ru-RU"/>
        </w:rPr>
      </w:pPr>
      <w:r>
        <w:rPr>
          <w:rFonts w:cs="Times New Roman"/>
          <w:sz w:val="28"/>
          <w:szCs w:val="28"/>
          <w:lang w:val="ru-RU"/>
        </w:rPr>
        <w:tab/>
        <w:t>По линии контрольно-ревизионной деятельности проведены проверки                       14 районных отделов судебных приставов, в ходе которых проверено                                     934 квитанционных книжек. По результатам проверок инициировано проведение                      2 служебных проверок, по результатам которых государственные служащие привлечены к дисциплинарной ответственности.</w:t>
      </w:r>
      <w:r/>
    </w:p>
    <w:p>
      <w:pPr>
        <w:pStyle w:val="Style18"/>
        <w:spacing w:before="0" w:after="0"/>
        <w:ind w:firstLine="708"/>
        <w:jc w:val="both"/>
        <w:rPr>
          <w:sz w:val="28"/>
          <w:sz w:val="28"/>
          <w:szCs w:val="28"/>
          <w:rFonts w:cs="Times New Roman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С использованием подсистемы ПК ОСП проводится сверка денежных средств, поступивших на депозитные счета отделов судебных приставов,                                  с фактическими суммами, взысканными с должников в рамках исполнительных производств. </w:t>
      </w:r>
      <w:r/>
    </w:p>
    <w:p>
      <w:pPr>
        <w:pStyle w:val="Style18"/>
        <w:spacing w:before="0" w:after="0"/>
        <w:ind w:firstLine="708"/>
        <w:jc w:val="both"/>
        <w:rPr>
          <w:sz w:val="28"/>
          <w:sz w:val="28"/>
          <w:szCs w:val="28"/>
          <w:rFonts w:cs="Times New Roman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В целях снижения коррупционных рисков в части хищения должностными лицами территориальных органов денежных средств, принятых по квитанционной книжке, исключен прием денежных средств по квитанционным книжкам. Проведены мероприятия по организации использования судебными приставами-исполнителями </w:t>
      </w:r>
      <w:r>
        <w:rPr>
          <w:rFonts w:cs="Times New Roman"/>
          <w:sz w:val="28"/>
          <w:szCs w:val="28"/>
        </w:rPr>
        <w:t>POS</w:t>
      </w:r>
      <w:r>
        <w:rPr>
          <w:rFonts w:cs="Times New Roman"/>
          <w:sz w:val="28"/>
          <w:szCs w:val="28"/>
          <w:lang w:val="ru-RU"/>
        </w:rPr>
        <w:t>-терминалов - электронных программно-технических устройств для приема пластиковых карт к оплате.</w:t>
      </w:r>
      <w:r/>
    </w:p>
    <w:p>
      <w:pPr>
        <w:pStyle w:val="Style18"/>
        <w:spacing w:before="0" w:after="0"/>
        <w:jc w:val="both"/>
        <w:rPr>
          <w:sz w:val="28"/>
          <w:sz w:val="28"/>
          <w:szCs w:val="28"/>
          <w:rFonts w:cs="Times New Roman"/>
          <w:lang w:val="ru-RU"/>
        </w:rPr>
      </w:pPr>
      <w:r>
        <w:rPr>
          <w:rFonts w:cs="Times New Roman"/>
          <w:sz w:val="28"/>
          <w:szCs w:val="28"/>
          <w:lang w:val="ru-RU"/>
        </w:rPr>
        <w:tab/>
        <w:t xml:space="preserve">В Управлении организован постоянный мониторинг баз данных исполнительных производств в целях выявления работников Управления, являющихся должниками по исполнительным производствам, а также выявления родственных и свойственных связей государственных гражданских служащих, имеющих полномочия, позволяющие влиять на ход исполнительного производства, с одной из сторон исполнительного производства и принятия мер по предотвращению и урегулированию конфликта интересов. </w:t>
      </w:r>
      <w:r/>
    </w:p>
    <w:p>
      <w:pPr>
        <w:pStyle w:val="Style18"/>
        <w:spacing w:before="0" w:after="0"/>
        <w:jc w:val="both"/>
        <w:rPr>
          <w:sz w:val="28"/>
          <w:sz w:val="28"/>
          <w:szCs w:val="28"/>
          <w:rFonts w:cs="Times New Roman"/>
          <w:lang w:val="ru-RU"/>
        </w:rPr>
      </w:pPr>
      <w:r>
        <w:rPr>
          <w:rFonts w:cs="Times New Roman"/>
          <w:sz w:val="28"/>
          <w:szCs w:val="28"/>
          <w:lang w:val="ru-RU"/>
        </w:rPr>
        <w:tab/>
        <w:t>В первом полугодии 2018 года на телефон доверия поступило                                       3 обращения, в котором содержались признаки коррупционного правонарушения                              в действиях должностных лиц Управления. В ходе проведенных проверок нарушений в действиях должностных лиц Управления не установлено.</w:t>
      </w:r>
      <w:r/>
    </w:p>
    <w:p>
      <w:pPr>
        <w:pStyle w:val="Style18"/>
        <w:spacing w:before="0" w:after="0"/>
        <w:jc w:val="both"/>
        <w:rPr>
          <w:sz w:val="28"/>
          <w:sz w:val="28"/>
          <w:szCs w:val="28"/>
          <w:rFonts w:cs="Times New Roman"/>
          <w:lang w:val="ru-RU"/>
        </w:rPr>
      </w:pPr>
      <w:r>
        <w:rPr>
          <w:rFonts w:cs="Times New Roman"/>
          <w:sz w:val="28"/>
          <w:szCs w:val="28"/>
          <w:lang w:val="ru-RU"/>
        </w:rPr>
        <w:tab/>
        <w:t>В отчетном периоде отделом государственной службы и кадров, противодействия коррупции рассмотрено 13 обращений о возможных коррупционных правонарушениях, допущенных государственными служащими Управления. В ходе проверок нарушений в действиях должностных лиц Управления не установлено.</w:t>
      </w:r>
      <w:r/>
    </w:p>
    <w:p>
      <w:pPr>
        <w:pStyle w:val="Style18"/>
        <w:spacing w:before="0" w:after="0"/>
        <w:ind w:firstLine="708"/>
        <w:jc w:val="both"/>
        <w:rPr>
          <w:sz w:val="28"/>
          <w:sz w:val="28"/>
          <w:szCs w:val="28"/>
          <w:rFonts w:cs="Times New Roman"/>
          <w:lang w:val="ru-RU"/>
        </w:rPr>
      </w:pPr>
      <w:r>
        <w:rPr>
          <w:rFonts w:cs="Times New Roman"/>
          <w:sz w:val="28"/>
          <w:szCs w:val="28"/>
          <w:lang w:val="ru-RU"/>
        </w:rPr>
        <w:t>Для исключения проникновения в Управление коррупционно уязвимых лиц с криминальным прошлым или намерениями специалистами отдела государственной службы и кадров, противодействия коррупции во взаимодействии с правоохранительными органами Тверской области проверен 101 претендующий          на поступление на работу в Управление и его структурные подразделения, в том числе на замещение должностей государственной гражданской службы 71 кандидат. В связи с выявлением фактов, препятствующих поступлению на государственную гражданскую службу, в приеме на работу отказано 5 претендентам.</w:t>
      </w:r>
      <w:r/>
    </w:p>
    <w:p>
      <w:pPr>
        <w:pStyle w:val="Style18"/>
        <w:spacing w:before="0" w:after="0"/>
        <w:jc w:val="both"/>
        <w:rPr>
          <w:sz w:val="28"/>
          <w:sz w:val="28"/>
          <w:szCs w:val="28"/>
          <w:rFonts w:cs="Times New Roman"/>
          <w:lang w:val="ru-RU"/>
        </w:rPr>
      </w:pPr>
      <w:r>
        <w:rPr>
          <w:rFonts w:cs="Times New Roman"/>
          <w:sz w:val="28"/>
          <w:szCs w:val="28"/>
          <w:lang w:val="ru-RU"/>
        </w:rPr>
        <w:tab/>
        <w:t xml:space="preserve">В целях выявления коррупционных рисков в деятельности Управления                      по размещению государственных заказов  принимаются меры по их устранению.                      </w:t>
      </w:r>
      <w:r/>
    </w:p>
    <w:p>
      <w:pPr>
        <w:pStyle w:val="Style18"/>
        <w:spacing w:before="0" w:after="0"/>
        <w:jc w:val="both"/>
        <w:rPr>
          <w:sz w:val="28"/>
          <w:sz w:val="28"/>
          <w:szCs w:val="28"/>
          <w:rFonts w:cs="Times New Roman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    </w:t>
      </w:r>
      <w:r>
        <w:rPr>
          <w:rFonts w:cs="Times New Roman"/>
          <w:sz w:val="28"/>
          <w:szCs w:val="28"/>
          <w:lang w:val="ru-RU"/>
        </w:rPr>
        <w:t xml:space="preserve">В целях профилактики коррупционных и иных правонарушений в состав Единой комиссии по размещению заказов на поставки товаров, выполнению работ и оказанию услуг включен работник отдела по противодействию коррупции Управления. </w:t>
      </w:r>
      <w:r/>
    </w:p>
    <w:p>
      <w:pPr>
        <w:pStyle w:val="Normal"/>
        <w:spacing w:lineRule="auto" w:line="240"/>
        <w:jc w:val="both"/>
        <w:rPr>
          <w:sz w:val="28"/>
          <w:sz w:val="28"/>
          <w:szCs w:val="28"/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    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При осуществлении закупок товаров, работ или услуг на сумму, не превышающую 100 тысяч рублей, у единственного поставщика, обеспечено согласование документов, инициирующих и обосновывающих необходимость таких контрактов, с  главным специалистом-экспертом по контрольно-ревизионной работе и заместителем начальника отдела государственной службы и кадров, противодействия коррупции.</w:t>
      </w:r>
      <w:r/>
    </w:p>
    <w:p>
      <w:pPr>
        <w:pStyle w:val="Normal"/>
        <w:spacing w:lineRule="auto" w:line="240"/>
        <w:ind w:firstLine="708"/>
        <w:jc w:val="both"/>
        <w:rPr>
          <w:sz w:val="28"/>
          <w:sz w:val="28"/>
          <w:szCs w:val="28"/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В первом полугодии 2018 года на участие в процедурах, связанных с поставками товаров, выполнением работ и оказанием услуг, была получена </w:t>
        <w:br/>
        <w:t>81 заявка (АППГ – 113).</w:t>
      </w:r>
      <w:r/>
    </w:p>
    <w:p>
      <w:pPr>
        <w:pStyle w:val="Normal"/>
        <w:spacing w:lineRule="auto" w:line="240"/>
        <w:ind w:firstLine="708"/>
        <w:jc w:val="both"/>
        <w:rPr>
          <w:sz w:val="28"/>
          <w:sz w:val="28"/>
          <w:szCs w:val="28"/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До участия в процедурах, связанных с поставками товаров, выполнением работ и оказанием услуг, в соответствии с действующим законодательством, было допущено 81</w:t>
      </w:r>
      <w:r>
        <w:rPr>
          <w:rFonts w:eastAsia="Times New Roman" w:cs="Times New Roman" w:ascii="Times New Roman" w:hAnsi="Times New Roman"/>
          <w:color w:val="FF0000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организации (юридические лица и индивидуальные предприниматели).</w:t>
      </w:r>
      <w:r/>
    </w:p>
    <w:p>
      <w:pPr>
        <w:pStyle w:val="Normal"/>
        <w:spacing w:lineRule="auto" w:line="240"/>
        <w:ind w:firstLine="708"/>
        <w:jc w:val="both"/>
        <w:rPr>
          <w:sz w:val="28"/>
          <w:sz w:val="28"/>
          <w:szCs w:val="28"/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В первом полугодии 2018 года проведено 62 заседания Единой комиссии </w:t>
        <w:br/>
        <w:t>по размещению заказов на поставки товаров, выполнению работ и оказанию услуг (АППГ – 52).</w:t>
      </w:r>
      <w:r/>
    </w:p>
    <w:p>
      <w:pPr>
        <w:pStyle w:val="Normal"/>
        <w:spacing w:lineRule="auto" w:line="240"/>
        <w:ind w:firstLine="708"/>
        <w:jc w:val="both"/>
        <w:rPr>
          <w:sz w:val="28"/>
          <w:sz w:val="28"/>
          <w:szCs w:val="28"/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 результате проведенных торгов в форме конкурсов, аукционов путем запроса котировок заключен 61 государственный контракт (АППГ – 38).</w:t>
      </w:r>
      <w:r/>
    </w:p>
    <w:p>
      <w:pPr>
        <w:pStyle w:val="Style18"/>
        <w:spacing w:before="0" w:after="0"/>
        <w:jc w:val="both"/>
        <w:rPr>
          <w:sz w:val="28"/>
          <w:sz w:val="28"/>
          <w:szCs w:val="28"/>
          <w:rFonts w:cs="Times New Roman"/>
          <w:lang w:val="ru-RU"/>
        </w:rPr>
      </w:pPr>
      <w:r>
        <w:rPr>
          <w:rFonts w:eastAsia="Times New Roman" w:cs="Times New Roman"/>
          <w:color w:val="00000A"/>
          <w:sz w:val="28"/>
          <w:szCs w:val="28"/>
          <w:lang w:val="ru-RU" w:eastAsia="ru-RU" w:bidi="ar-SA"/>
        </w:rPr>
        <w:t>Признаков коррупционных правонарушений в ходе работы Единой комиссии по размещению заказов на поставки товаров, выполнению работ и оказанию услуг УФССП России по Тверской области не выявлено.</w:t>
      </w:r>
      <w:r/>
    </w:p>
    <w:p>
      <w:pPr>
        <w:pStyle w:val="Style18"/>
        <w:spacing w:before="0" w:after="0"/>
        <w:jc w:val="both"/>
        <w:rPr>
          <w:sz w:val="28"/>
          <w:sz w:val="28"/>
          <w:szCs w:val="28"/>
          <w:rFonts w:cs="Times New Roman"/>
          <w:lang w:val="ru-RU"/>
        </w:rPr>
      </w:pPr>
      <w:r>
        <w:rPr>
          <w:rFonts w:cs="Times New Roman"/>
          <w:sz w:val="28"/>
          <w:szCs w:val="28"/>
          <w:lang w:val="ru-RU"/>
        </w:rPr>
        <w:tab/>
        <w:t>В первом полугодии 2018 года осуществлено 5 проверок структурных подразделений, в том числе одна проверка в связи с возбуждением уголовного дела в отношении гражданского служащего Ф.</w:t>
      </w:r>
      <w:r/>
    </w:p>
    <w:p>
      <w:pPr>
        <w:pStyle w:val="Style18"/>
        <w:spacing w:before="0" w:after="0"/>
        <w:jc w:val="both"/>
        <w:rPr>
          <w:sz w:val="28"/>
          <w:sz w:val="28"/>
          <w:szCs w:val="28"/>
          <w:rFonts w:cs="Times New Roman"/>
          <w:lang w:val="ru-RU"/>
        </w:rPr>
      </w:pPr>
      <w:r>
        <w:rPr>
          <w:rFonts w:cs="Times New Roman"/>
          <w:sz w:val="28"/>
          <w:szCs w:val="28"/>
          <w:lang w:val="ru-RU"/>
        </w:rPr>
        <w:tab/>
        <w:t xml:space="preserve">В Управлении обеспечено ознакомление поступающих на службу государственных гражданских служащих с требованиями законодательства </w:t>
        <w:br/>
        <w:t>о прохождении государственной гражданской службы в ФССП России.</w:t>
      </w:r>
      <w:r/>
    </w:p>
    <w:p>
      <w:pPr>
        <w:pStyle w:val="Style18"/>
        <w:shd w:val="clear" w:color="auto" w:themeColor="" w:themeTint="" w:themeShade="" w:fill="FFFFFF" w:themeFill="" w:themeFillTint="" w:themeFillShade=""/>
        <w:spacing w:before="0" w:after="0"/>
        <w:jc w:val="both"/>
        <w:rPr>
          <w:sz w:val="28"/>
          <w:sz w:val="28"/>
          <w:szCs w:val="28"/>
          <w:rFonts w:cs="Times New Roman"/>
          <w:lang w:val="ru-RU"/>
        </w:rPr>
      </w:pPr>
      <w:r>
        <w:rPr>
          <w:rFonts w:cs="Times New Roman"/>
          <w:sz w:val="28"/>
          <w:szCs w:val="28"/>
          <w:lang w:val="ru-RU"/>
        </w:rPr>
        <w:tab/>
        <w:t xml:space="preserve">В ходе работы с кандидатами психолог Управления проводит психодиагностическое обследование всех граждан, претендующих на замещение должностей судебных приставов по ОУПДС и старших судебных приставов. </w:t>
      </w:r>
      <w:r/>
    </w:p>
    <w:p>
      <w:pPr>
        <w:pStyle w:val="Style18"/>
        <w:spacing w:before="0" w:after="0"/>
        <w:jc w:val="both"/>
        <w:rPr>
          <w:sz w:val="28"/>
          <w:sz w:val="28"/>
          <w:szCs w:val="28"/>
          <w:rFonts w:cs="Times New Roman"/>
          <w:lang w:val="ru-RU"/>
        </w:rPr>
      </w:pPr>
      <w:r>
        <w:rPr>
          <w:rFonts w:cs="Times New Roman"/>
          <w:sz w:val="28"/>
          <w:szCs w:val="28"/>
          <w:lang w:val="ru-RU"/>
        </w:rPr>
        <w:tab/>
        <w:t xml:space="preserve">В рамках служебной подготовки и в порядке наставничества проводится обучение и инструктирование проходящих службу гражданских служащих </w:t>
        <w:br/>
        <w:t xml:space="preserve">о порядке уведомления о фактах обращения к ним в целях склонения </w:t>
        <w:br/>
        <w:t>к совершению коррупционных правонарушений, о порядке уведомления представителя нанимателя о возникновении личной заинтересованности, которая приводит или может привести к конфликту интересов, о порядке уведомления представителя нанимателя о намерении выполнять иную оплачиваемую работу, о порядке представления сведений о доходах, расходах, об имуществе и обязательствах имущественного характера и о порядке заполнения соответствующих справок.</w:t>
      </w:r>
      <w:r/>
    </w:p>
    <w:p>
      <w:pPr>
        <w:pStyle w:val="Normal"/>
        <w:spacing w:lineRule="auto" w:line="240"/>
        <w:ind w:firstLine="708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Управлением было организовано представление работниками Управления, замещающими должности федеральной государственной гражданской службы, включенные в перечень должностей федеральной государственной гражданской службы, при замещении которых федеральные государственные гражданские служащие Федеральной службы судебных приставов обязаны представлять сведения о своих о доходах, расходах, об имуществе и обязательствах имущественного характера, а также сведения  о доходах, расходах, об имуществе                        и обязательствах имущественного характера своих супруги (супруга)                           и несовершеннолетних детей, утвержденный приказом ФССП России от 15.09.2015 № 437.</w:t>
      </w:r>
      <w:r/>
    </w:p>
    <w:p>
      <w:pPr>
        <w:pStyle w:val="Normal"/>
        <w:spacing w:lineRule="auto" w:line="240"/>
        <w:ind w:firstLine="708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Style w:val="Style15"/>
          <w:rFonts w:cs="Times New Roman" w:ascii="Times New Roman" w:hAnsi="Times New Roman"/>
          <w:sz w:val="28"/>
          <w:szCs w:val="28"/>
        </w:rPr>
        <w:t xml:space="preserve">В рамках декларационной кампании 2018 года </w:t>
      </w:r>
      <w:r>
        <w:rPr>
          <w:rFonts w:cs="Times New Roman" w:ascii="Times New Roman" w:hAnsi="Times New Roman"/>
          <w:sz w:val="28"/>
          <w:szCs w:val="28"/>
        </w:rPr>
        <w:t xml:space="preserve">представили справки о доходах, расходах, об имуществе и обязательствах имущественного характера </w:t>
        <w:br/>
        <w:t xml:space="preserve">660 государственных гражданских служащих Управления. В ходе работы принято </w:t>
        <w:br/>
        <w:t>930 справок о доходах, расходах, об имуществе и обязательствах имущественного характера своих супруги (супруга) и несовершеннолетних детей гражданских служащих.</w:t>
      </w:r>
      <w:r/>
    </w:p>
    <w:p>
      <w:pPr>
        <w:pStyle w:val="Style18"/>
        <w:spacing w:before="0" w:after="0"/>
        <w:jc w:val="both"/>
        <w:rPr>
          <w:sz w:val="28"/>
          <w:sz w:val="28"/>
          <w:szCs w:val="28"/>
          <w:rFonts w:cs="Times New Roman"/>
          <w:lang w:val="ru-RU"/>
        </w:rPr>
      </w:pPr>
      <w:r>
        <w:rPr>
          <w:rFonts w:cs="Times New Roman"/>
          <w:sz w:val="28"/>
          <w:szCs w:val="28"/>
          <w:lang w:val="ru-RU"/>
        </w:rPr>
        <w:tab/>
        <w:t xml:space="preserve">В информационно-телекоммуникационной сети «Интернет»» Управлением размещены на официальном Интернет-сайте ФССП России сведения о доходах, расходах, об имуществе и обязательствах имущественного характера федеральных государственных гражданских служащих Управления. </w:t>
      </w:r>
      <w:r/>
    </w:p>
    <w:p>
      <w:pPr>
        <w:pStyle w:val="Style18"/>
        <w:spacing w:before="0" w:after="0"/>
        <w:ind w:firstLine="708"/>
        <w:jc w:val="both"/>
        <w:rPr>
          <w:sz w:val="28"/>
          <w:sz w:val="28"/>
          <w:szCs w:val="28"/>
          <w:rFonts w:cs="Times New Roman"/>
          <w:lang w:val="ru-RU"/>
        </w:rPr>
      </w:pPr>
      <w:r>
        <w:rPr>
          <w:rFonts w:cs="Times New Roman"/>
          <w:sz w:val="28"/>
          <w:szCs w:val="28"/>
          <w:lang w:val="ru-RU"/>
        </w:rPr>
        <w:t>В июле 2018 года на основании изучения и анализа сведений о доходах, расходах, об имуществе и обязательствах имущественного характера, представленных государственными гражданскими служащими Управления, представленных за 2017 год, инициирована одна проверки в отношении государственного гражданского служащего, в соответствии с положениями Указа Президента Российской Федерации от 21.09.2009 № 1065.</w:t>
      </w:r>
      <w:r/>
    </w:p>
    <w:p>
      <w:pPr>
        <w:pStyle w:val="Style18"/>
        <w:spacing w:before="0" w:after="0"/>
        <w:jc w:val="both"/>
        <w:rPr>
          <w:sz w:val="28"/>
          <w:sz w:val="28"/>
          <w:szCs w:val="28"/>
          <w:rFonts w:cs="Times New Roman"/>
          <w:lang w:val="ru-RU"/>
        </w:rPr>
      </w:pPr>
      <w:r>
        <w:rPr>
          <w:rFonts w:cs="Times New Roman"/>
          <w:sz w:val="28"/>
          <w:szCs w:val="28"/>
          <w:lang w:val="ru-RU"/>
        </w:rPr>
        <w:tab/>
        <w:t>В Управлении образована и работает Комиссия по соблюдению требований к служебному поведению федеральных государственных гражданских служащих и урегулированию конфликта интересов (далее - Комиссия), утвержден состав членов комиссии.</w:t>
      </w:r>
      <w:r/>
    </w:p>
    <w:p>
      <w:pPr>
        <w:pStyle w:val="1"/>
        <w:shd w:val="clear" w:color="auto" w:themeColor="" w:themeTint="" w:themeShade="" w:fill="auto" w:themeFill="" w:themeFillTint="" w:themeFillShade=""/>
        <w:spacing w:lineRule="auto" w:line="240" w:before="0" w:after="0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ab/>
        <w:t>В первом полугодии 2018 года проведено 5 заседаний, на которых рассмотрены материалы по 11 вопросам, в том числе:</w:t>
      </w:r>
      <w:r/>
    </w:p>
    <w:p>
      <w:pPr>
        <w:pStyle w:val="1"/>
        <w:shd w:val="clear" w:color="auto" w:themeColor="" w:themeTint="" w:themeShade="" w:fill="auto" w:themeFill="" w:themeFillTint="" w:themeFillShade=""/>
        <w:spacing w:lineRule="auto" w:line="240" w:before="0" w:after="0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- представление недостоверных или неполных сведений о доходах, об имуществе и обязательствах имущественного характера - 1;</w:t>
      </w:r>
      <w:r/>
    </w:p>
    <w:p>
      <w:pPr>
        <w:pStyle w:val="1"/>
        <w:shd w:val="clear" w:color="auto" w:themeColor="" w:themeTint="" w:themeShade="" w:fill="auto" w:themeFill="" w:themeFillTint="" w:themeFillShade=""/>
        <w:spacing w:lineRule="auto" w:line="240" w:before="0" w:after="0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- несоблюдение требований к служебному поведению и (или) требований об урегулировании конфликта интересов - 1;</w:t>
      </w:r>
      <w:r/>
    </w:p>
    <w:p>
      <w:pPr>
        <w:pStyle w:val="1"/>
        <w:shd w:val="clear" w:color="auto" w:themeColor="" w:themeTint="" w:themeShade="" w:fill="auto" w:themeFill="" w:themeFillTint="" w:themeFillShade=""/>
        <w:spacing w:lineRule="auto" w:line="240" w:before="0" w:after="0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- дача согласия на замещение должности в коммерческой или некоммерческой организации либо на выполнение работы на условиях гражданско-правового договора - 4;</w:t>
      </w:r>
      <w:r/>
    </w:p>
    <w:p>
      <w:pPr>
        <w:pStyle w:val="1"/>
        <w:shd w:val="clear" w:color="auto" w:themeColor="" w:themeTint="" w:themeShade="" w:fill="auto" w:themeFill="" w:themeFillTint="" w:themeFillShade=""/>
        <w:spacing w:lineRule="auto" w:line="240" w:before="0" w:after="0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- иные вопросы - 5.</w:t>
      </w:r>
      <w:r/>
    </w:p>
    <w:p>
      <w:pPr>
        <w:pStyle w:val="1"/>
        <w:shd w:val="clear" w:color="auto" w:themeColor="" w:themeTint="" w:themeShade="" w:fill="auto" w:themeFill="" w:themeFillTint="" w:themeFillShade=""/>
        <w:spacing w:lineRule="auto" w:line="240" w:before="0" w:after="0"/>
        <w:ind w:firstLine="708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По результатам заседаний комиссии Управления  по соблюдению требований к служебному поведению и урегулированию конфликта интересов  к юридической ответственности гражданские служащие не привлекались.</w:t>
      </w:r>
      <w:r/>
    </w:p>
    <w:p>
      <w:pPr>
        <w:pStyle w:val="1"/>
        <w:shd w:val="clear" w:color="auto" w:themeColor="" w:themeTint="" w:themeShade="" w:fill="auto" w:themeFill="" w:themeFillTint="" w:themeFillShade=""/>
        <w:spacing w:lineRule="auto" w:line="240" w:before="0" w:after="0"/>
        <w:ind w:firstLine="708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Управлением организована работа по соблюдению федеральными государственными гражданскими служащими ФССП России требований, установленных п. 6 ч. 1 ст. 17 Федерального закона от 27.07.2004 № 79-ФЗ                               «О государственной гражданской службе Российской Федерации», по уведомлению о получении подарков, полученных в связи с протокольными мероприятиями, служебными командировками и другими официальными мероприятиями.</w:t>
      </w:r>
      <w:r/>
    </w:p>
    <w:p>
      <w:pPr>
        <w:pStyle w:val="1"/>
        <w:shd w:val="clear" w:color="auto" w:themeColor="" w:themeTint="" w:themeShade="" w:fill="auto" w:themeFill="" w:themeFillTint="" w:themeFillShade=""/>
        <w:spacing w:lineRule="auto" w:line="240" w:before="0" w:after="0"/>
        <w:ind w:firstLine="708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Нарушений требований, установленных п. 6 ч. 1 ст. 17 Федерального закона от 27.07.2004 № 79, по уведомлению о получении подарков, полученных в связи с протокольными мероприятиями, служебными командировками и другими официальными мероприятиями, в 2017 году не выявлено.</w:t>
      </w:r>
      <w:r/>
    </w:p>
    <w:p>
      <w:pPr>
        <w:pStyle w:val="Style18"/>
        <w:spacing w:before="0" w:after="0"/>
        <w:jc w:val="both"/>
        <w:rPr>
          <w:sz w:val="28"/>
          <w:sz w:val="28"/>
          <w:szCs w:val="28"/>
          <w:rFonts w:cs="Times New Roman"/>
          <w:lang w:val="ru-RU"/>
        </w:rPr>
      </w:pPr>
      <w:r>
        <w:rPr>
          <w:rFonts w:cs="Times New Roman"/>
          <w:sz w:val="28"/>
          <w:szCs w:val="28"/>
          <w:lang w:val="ru-RU"/>
        </w:rPr>
        <w:tab/>
        <w:t>Управлением организован мониторинг соблюдения лицами, замещавшими должности государственной гражданской службы в ФССП России, ограничений, предусмотренных статьей 12 Федерального закона от 25.12.2008 № 273-ФЗ                             «О противодействии коррупции», при заключении ими после увольнения                                  с государственной гражданской службы трудовых и гражданско-правовых договоров.</w:t>
      </w:r>
      <w:r/>
    </w:p>
    <w:p>
      <w:pPr>
        <w:pStyle w:val="Style18"/>
        <w:spacing w:before="0" w:after="0"/>
        <w:ind w:firstLine="708"/>
        <w:jc w:val="both"/>
        <w:rPr>
          <w:sz w:val="28"/>
          <w:sz w:val="28"/>
          <w:szCs w:val="28"/>
          <w:rFonts w:cs="Times New Roman"/>
          <w:lang w:val="ru-RU"/>
        </w:rPr>
      </w:pPr>
      <w:r>
        <w:rPr>
          <w:rFonts w:cs="Times New Roman"/>
          <w:sz w:val="28"/>
          <w:szCs w:val="28"/>
          <w:lang w:val="ru-RU"/>
        </w:rPr>
        <w:t>Управлением проводится анализ представленных работодателями сообщений о заключении трудового договора или гражданско-правового договора  на выполнение в организации в течение месяца работ (оказание организации услуг) стоимостью более 100 тыс. рублей с гражданином, замещавшим должности государственной службы, перечень которых установлен приказом ФССП России от 26.01.2018 № 38 «Об утверждении Перечня должностей федеральной государственной гражданской службы Федеральной службы судебных приставов, при замещении которых федеральные государственные гражданские служащие Федеральной службы судебных приставов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детей», а также обратившихся с заявлением в комиссию Управления по соблюдению требований к служебному поведению и  урегулированию конфликта интересов за получением согласия на замещение должности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обязанности.</w:t>
      </w:r>
      <w:r/>
    </w:p>
    <w:p>
      <w:pPr>
        <w:pStyle w:val="Style18"/>
        <w:spacing w:before="0" w:after="0"/>
        <w:jc w:val="both"/>
        <w:rPr>
          <w:sz w:val="28"/>
          <w:sz w:val="28"/>
          <w:szCs w:val="28"/>
          <w:rFonts w:cs="Times New Roman"/>
          <w:lang w:val="ru-RU"/>
        </w:rPr>
      </w:pPr>
      <w:r>
        <w:rPr>
          <w:rFonts w:cs="Times New Roman"/>
          <w:sz w:val="28"/>
          <w:szCs w:val="28"/>
          <w:lang w:val="ru-RU"/>
        </w:rPr>
        <w:tab/>
        <w:t xml:space="preserve">В первом полугодии 2018 года в соответствии с Постановлением Правительства Российской Федерации от 21.01.2015 № 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                               в Управление поступило 49 сообщений работодателей при заключении трудового договора или гражданско-правового договора в течение двух лет после увольнения гражданина  с государственной службы представителю нанимателя (работодателю) государственного служащего по последнему месту его службы в УФССП России </w:t>
        <w:br/>
        <w:t xml:space="preserve">по Тверской области о заключении такого договора в письменной форме. По всем </w:t>
        <w:br/>
        <w:t>49 сообщениям осуществлялась проверка и оформ</w:t>
      </w:r>
      <w:r>
        <w:rPr>
          <w:rFonts w:cs="Times New Roman"/>
          <w:sz w:val="28"/>
          <w:szCs w:val="28"/>
          <w:lang w:val="ru-RU"/>
        </w:rPr>
        <w:t>л</w:t>
      </w:r>
      <w:r>
        <w:rPr>
          <w:rFonts w:cs="Times New Roman"/>
          <w:sz w:val="28"/>
          <w:szCs w:val="28"/>
          <w:lang w:val="ru-RU"/>
        </w:rPr>
        <w:t>ялись заключения о соблюдении гражданскими служащими, замещавшими должности государственной гражданской службы Управления, требований статьи 12 Федерального закона от 25.12.2008                          № 273-ФЗ «О противодействии коррупции».</w:t>
      </w:r>
      <w:r/>
    </w:p>
    <w:p>
      <w:pPr>
        <w:pStyle w:val="Style18"/>
        <w:spacing w:before="0" w:after="0"/>
        <w:ind w:firstLine="708"/>
        <w:jc w:val="both"/>
        <w:rPr>
          <w:sz w:val="28"/>
          <w:sz w:val="28"/>
          <w:szCs w:val="28"/>
          <w:rFonts w:cs="Times New Roman"/>
          <w:lang w:val="ru-RU"/>
        </w:rPr>
      </w:pPr>
      <w:r>
        <w:rPr>
          <w:rFonts w:cs="Times New Roman"/>
          <w:sz w:val="28"/>
          <w:szCs w:val="28"/>
          <w:lang w:val="ru-RU"/>
        </w:rPr>
        <w:t>На основании проведенного анализа в прокуратуру Тверской области направлен для использования список государственных гражданских служащих Управления, уволившихся с гражданской службы в период с января по июнь                         2018 года и не обратившихся за получением согласия на замещение должности                        в коммерческой или некоммерческой организации, если отдельные функции                           по государственному управлению этой организацией входили в его должностные (служебные) обязанности, до истечения двух лет со дня увольнения                                        с государственной службы.</w:t>
      </w:r>
      <w:r/>
    </w:p>
    <w:p>
      <w:pPr>
        <w:pStyle w:val="Style18"/>
        <w:spacing w:before="0" w:after="0"/>
        <w:jc w:val="both"/>
        <w:rPr>
          <w:sz w:val="28"/>
          <w:sz w:val="28"/>
          <w:szCs w:val="28"/>
          <w:rFonts w:cs="Times New Roman"/>
          <w:lang w:val="ru-RU"/>
        </w:rPr>
      </w:pPr>
      <w:r>
        <w:rPr>
          <w:rFonts w:cs="Times New Roman"/>
          <w:sz w:val="28"/>
          <w:szCs w:val="28"/>
          <w:lang w:val="ru-RU"/>
        </w:rPr>
        <w:tab/>
        <w:t>В первом полугодии 2018 года работники отдела государственной службы и кадров, противодействия коррупции каждому увольняющемуся с гражданской службы работнику в ходе процедуры увольнения вручают памятку, состоящую из текста ст. 12 (Ограничения, налагаемые на гражданина, замещавшего должность государственной или муниципальной службы, при заключении им трудового или гражданско-правового договора) Федерального закона от 25.12.12.2008 № 273-ФЗ «О противодействии коррупции» и постановления Правительства Российской Федерации от 21.01.2015 № 29 «Об утверждении правил сообщения работодателемо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Федерации».</w:t>
      </w:r>
      <w:r/>
    </w:p>
    <w:p>
      <w:pPr>
        <w:pStyle w:val="Normal"/>
        <w:spacing w:lineRule="auto" w:line="240"/>
        <w:ind w:firstLine="708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В Управлении организована работа по обеспечению нормального функционирования Сервиса по автоматической выгрузке о наличии исполнительных производств в отношении работников Управления.</w:t>
      </w:r>
      <w:r/>
    </w:p>
    <w:p>
      <w:pPr>
        <w:pStyle w:val="Normal"/>
        <w:spacing w:lineRule="auto" w:line="240"/>
        <w:ind w:firstLine="708"/>
        <w:jc w:val="both"/>
        <w:rPr>
          <w:sz w:val="28"/>
          <w:sz w:val="28"/>
          <w:szCs w:val="28"/>
          <w:bCs/>
          <w:rFonts w:ascii="Times New Roman" w:hAnsi="Times New Roman" w:eastAsia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 xml:space="preserve">Ответственные работники анализируют </w:t>
      </w:r>
      <w:r>
        <w:rPr>
          <w:rFonts w:eastAsia="Times New Roman" w:cs="Times New Roman" w:ascii="Times New Roman" w:hAnsi="Times New Roman"/>
          <w:bCs/>
          <w:sz w:val="28"/>
          <w:szCs w:val="28"/>
        </w:rPr>
        <w:t>поступившие на электронный адрес сведения (список) на предмет полноты и законности проведенных исполнительных действий и при необходимости осуществляют контроль исполнения исполнительных производств в отношении работников ФССП России, включенных в список.</w:t>
      </w:r>
      <w:r/>
    </w:p>
    <w:p>
      <w:pPr>
        <w:pStyle w:val="Normal"/>
        <w:spacing w:lineRule="auto" w:line="240"/>
        <w:ind w:firstLine="708"/>
        <w:jc w:val="both"/>
        <w:rPr>
          <w:sz w:val="28"/>
          <w:sz w:val="28"/>
          <w:szCs w:val="28"/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В рамках служебной подготовки и в порядке наставничества проводится обучение и инструктирование проходящих службу гражданских служащих </w:t>
        <w:br/>
        <w:t xml:space="preserve">о порядке уведомления о фактах обращения к ним в целях склонения </w:t>
        <w:br/>
        <w:t>к совершению коррупционных правонарушений, о порядке уведомления представителя нанимателя о возникновении личной заинтересованности, которая приводит или может привести к конфликту интересов, о порядке уведомления представителя нанимателя о намерении выполнять иную оплачиваемую работу,</w:t>
        <w:br/>
        <w:t xml:space="preserve">о порядке представления сведений о доходах, расходах, об имуществе </w:t>
        <w:br/>
        <w:t>и обязательствах имущественного характера и о порядке заполнения соответствующих справок</w:t>
      </w:r>
      <w:r/>
    </w:p>
    <w:p>
      <w:pPr>
        <w:pStyle w:val="Normal"/>
        <w:spacing w:lineRule="auto" w:line="240"/>
        <w:ind w:firstLine="708"/>
        <w:jc w:val="both"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 первом полугодии 201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8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года работниками отдела государственной службы и кадров, противодействия коррупции подготовлены и проведены занятия </w:t>
        <w:br/>
        <w:t>с сотрудниками аппарата Управления и сотрудниками территориальных органов ФССП России, входящих в состав ЦФО, проходящими обучение в Учебно-методическом центре, по антикоррупционной тематике.</w:t>
      </w:r>
      <w:r/>
    </w:p>
    <w:p>
      <w:pPr>
        <w:pStyle w:val="Normal"/>
        <w:spacing w:lineRule="auto" w:line="240"/>
        <w:rPr/>
      </w:pPr>
      <w:r>
        <w:rPr/>
      </w:r>
      <w:r/>
    </w:p>
    <w:sectPr>
      <w:type w:val="nextPage"/>
      <w:pgSz w:w="11906" w:h="16838"/>
      <w:pgMar w:left="1134" w:right="567" w:header="0" w:top="1134" w:footer="0" w:bottom="709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pacing w:lineRule="auto" w:line="120"/>
        <w:jc w:val="both"/>
      </w:pPr>
    </w:pPrDefault>
  </w:docDefaults>
  <w:latentStyles w:count="267" w:defQFormat="0" w:defUnhideWhenUsed="1" w:defSemiHidden="1" w:defUIPriority="99" w:defLockedState="0">
    <w:lsdException w:qFormat="1" w:unhideWhenUsed="0" w:semiHidden="0" w:uiPriority="0" w:name="Normal"/>
    <w:lsdException w:qFormat="1" w:unhideWhenUsed="0" w:semiHidden="0" w:uiPriority="9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unhideWhenUsed="0" w:semiHidden="0" w:uiPriority="10" w:name="Title"/>
    <w:lsdException w:uiPriority="1" w:name="Default Paragraph Font"/>
    <w:lsdException w:uiPriority="0" w:name="Body Text"/>
    <w:lsdException w:qFormat="1" w:unhideWhenUsed="0" w:semiHidden="0" w:uiPriority="11" w:name="Subtitle"/>
    <w:lsdException w:uiPriority="0" w:name="Hyperlink"/>
    <w:lsdException w:qFormat="1" w:unhideWhenUsed="0" w:semiHidden="0" w:uiPriority="22" w:name="Strong"/>
    <w:lsdException w:qFormat="1" w:unhideWhenUsed="0" w:semiHidden="0" w:uiPriority="20" w:name="Emphasis"/>
    <w:lsdException w:unhideWhenUsed="0" w:semiHidden="0" w:uiPriority="59" w:name="Table Grid"/>
    <w:lsdException w:unhideWhenUsed="0" w:name="Placeholder Text"/>
    <w:lsdException w:qFormat="1" w:unhideWhenUsed="0" w:semiHidden="0" w:uiPriority="1" w:name="No Spacing"/>
    <w:lsdException w:unhideWhenUsed="0" w:semiHidden="0" w:uiPriority="60" w:name="Light Shading"/>
    <w:lsdException w:unhideWhenUsed="0" w:semiHidden="0" w:uiPriority="61" w:name="Light List"/>
    <w:lsdException w:unhideWhenUsed="0" w:semiHidden="0" w:uiPriority="62" w:name="Light Grid"/>
    <w:lsdException w:unhideWhenUsed="0" w:semiHidden="0" w:uiPriority="63" w:name="Medium Shading 1"/>
    <w:lsdException w:unhideWhenUsed="0" w:semiHidden="0" w:uiPriority="64" w:name="Medium Shading 2"/>
    <w:lsdException w:unhideWhenUsed="0" w:semiHidden="0" w:uiPriority="65" w:name="Medium List 1"/>
    <w:lsdException w:unhideWhenUsed="0" w:semiHidden="0" w:uiPriority="66" w:name="Medium List 2"/>
    <w:lsdException w:unhideWhenUsed="0" w:semiHidden="0" w:uiPriority="67" w:name="Medium Grid 1"/>
    <w:lsdException w:unhideWhenUsed="0" w:semiHidden="0" w:uiPriority="68" w:name="Medium Grid 2"/>
    <w:lsdException w:unhideWhenUsed="0" w:semiHidden="0" w:uiPriority="69" w:name="Medium Grid 3"/>
    <w:lsdException w:unhideWhenUsed="0" w:semiHidden="0" w:uiPriority="70" w:name="Dark List"/>
    <w:lsdException w:unhideWhenUsed="0" w:semiHidden="0" w:uiPriority="71" w:name="Colorful Shading"/>
    <w:lsdException w:unhideWhenUsed="0" w:semiHidden="0" w:uiPriority="72" w:name="Colorful List"/>
    <w:lsdException w:unhideWhenUsed="0" w:semiHidden="0" w:uiPriority="73" w:name="Colorful Grid"/>
    <w:lsdException w:unhideWhenUsed="0" w:semiHidden="0" w:uiPriority="60" w:name="Light Shading Accent 1"/>
    <w:lsdException w:unhideWhenUsed="0" w:semiHidden="0" w:uiPriority="61" w:name="Light List Accent 1"/>
    <w:lsdException w:unhideWhenUsed="0" w:semiHidden="0" w:uiPriority="62" w:name="Light Grid Accent 1"/>
    <w:lsdException w:unhideWhenUsed="0" w:semiHidden="0" w:uiPriority="63" w:name="Medium Shading 1 Accent 1"/>
    <w:lsdException w:unhideWhenUsed="0" w:semiHidden="0" w:uiPriority="64" w:name="Medium Shading 2 Accent 1"/>
    <w:lsdException w:unhideWhenUsed="0" w:semiHidden="0" w:uiPriority="65" w:name="Medium List 1 Accent 1"/>
    <w:lsdException w:unhideWhenUsed="0" w:name="Revision"/>
    <w:lsdException w:qFormat="1" w:unhideWhenUsed="0" w:semiHidden="0" w:uiPriority="34" w:name="List Paragraph"/>
    <w:lsdException w:qFormat="1" w:unhideWhenUsed="0" w:semiHidden="0" w:uiPriority="29" w:name="Quote"/>
    <w:lsdException w:qFormat="1" w:unhideWhenUsed="0" w:semiHidden="0" w:uiPriority="30" w:name="Intense Quote"/>
    <w:lsdException w:unhideWhenUsed="0" w:semiHidden="0" w:uiPriority="66" w:name="Medium List 2 Accent 1"/>
    <w:lsdException w:unhideWhenUsed="0" w:semiHidden="0" w:uiPriority="67" w:name="Medium Grid 1 Accent 1"/>
    <w:lsdException w:unhideWhenUsed="0" w:semiHidden="0" w:uiPriority="68" w:name="Medium Grid 2 Accent 1"/>
    <w:lsdException w:unhideWhenUsed="0" w:semiHidden="0" w:uiPriority="69" w:name="Medium Grid 3 Accent 1"/>
    <w:lsdException w:unhideWhenUsed="0" w:semiHidden="0" w:uiPriority="70" w:name="Dark List Accent 1"/>
    <w:lsdException w:unhideWhenUsed="0" w:semiHidden="0" w:uiPriority="71" w:name="Colorful Shading Accent 1"/>
    <w:lsdException w:unhideWhenUsed="0" w:semiHidden="0" w:uiPriority="72" w:name="Colorful List Accent 1"/>
    <w:lsdException w:unhideWhenUsed="0" w:semiHidden="0" w:uiPriority="73" w:name="Colorful Grid Accent 1"/>
    <w:lsdException w:unhideWhenUsed="0" w:semiHidden="0" w:uiPriority="60" w:name="Light Shading Accent 2"/>
    <w:lsdException w:unhideWhenUsed="0" w:semiHidden="0" w:uiPriority="61" w:name="Light List Accent 2"/>
    <w:lsdException w:unhideWhenUsed="0" w:semiHidden="0" w:uiPriority="62" w:name="Light Grid Accent 2"/>
    <w:lsdException w:unhideWhenUsed="0" w:semiHidden="0" w:uiPriority="63" w:name="Medium Shading 1 Accent 2"/>
    <w:lsdException w:unhideWhenUsed="0" w:semiHidden="0" w:uiPriority="64" w:name="Medium Shading 2 Accent 2"/>
    <w:lsdException w:unhideWhenUsed="0" w:semiHidden="0" w:uiPriority="65" w:name="Medium List 1 Accent 2"/>
    <w:lsdException w:unhideWhenUsed="0" w:semiHidden="0" w:uiPriority="66" w:name="Medium List 2 Accent 2"/>
    <w:lsdException w:unhideWhenUsed="0" w:semiHidden="0" w:uiPriority="67" w:name="Medium Grid 1 Accent 2"/>
    <w:lsdException w:unhideWhenUsed="0" w:semiHidden="0" w:uiPriority="68" w:name="Medium Grid 2 Accent 2"/>
    <w:lsdException w:unhideWhenUsed="0" w:semiHidden="0" w:uiPriority="69" w:name="Medium Grid 3 Accent 2"/>
    <w:lsdException w:unhideWhenUsed="0" w:semiHidden="0" w:uiPriority="70" w:name="Dark List Accent 2"/>
    <w:lsdException w:unhideWhenUsed="0" w:semiHidden="0" w:uiPriority="71" w:name="Colorful Shading Accent 2"/>
    <w:lsdException w:unhideWhenUsed="0" w:semiHidden="0" w:uiPriority="72" w:name="Colorful List Accent 2"/>
    <w:lsdException w:unhideWhenUsed="0" w:semiHidden="0" w:uiPriority="73" w:name="Colorful Grid Accent 2"/>
    <w:lsdException w:unhideWhenUsed="0" w:semiHidden="0" w:uiPriority="60" w:name="Light Shading Accent 3"/>
    <w:lsdException w:unhideWhenUsed="0" w:semiHidden="0" w:uiPriority="61" w:name="Light List Accent 3"/>
    <w:lsdException w:unhideWhenUsed="0" w:semiHidden="0" w:uiPriority="62" w:name="Light Grid Accent 3"/>
    <w:lsdException w:unhideWhenUsed="0" w:semiHidden="0" w:uiPriority="63" w:name="Medium Shading 1 Accent 3"/>
    <w:lsdException w:unhideWhenUsed="0" w:semiHidden="0" w:uiPriority="64" w:name="Medium Shading 2 Accent 3"/>
    <w:lsdException w:unhideWhenUsed="0" w:semiHidden="0" w:uiPriority="65" w:name="Medium List 1 Accent 3"/>
    <w:lsdException w:unhideWhenUsed="0" w:semiHidden="0" w:uiPriority="66" w:name="Medium List 2 Accent 3"/>
    <w:lsdException w:unhideWhenUsed="0" w:semiHidden="0" w:uiPriority="67" w:name="Medium Grid 1 Accent 3"/>
    <w:lsdException w:unhideWhenUsed="0" w:semiHidden="0" w:uiPriority="68" w:name="Medium Grid 2 Accent 3"/>
    <w:lsdException w:unhideWhenUsed="0" w:semiHidden="0" w:uiPriority="69" w:name="Medium Grid 3 Accent 3"/>
    <w:lsdException w:unhideWhenUsed="0" w:semiHidden="0" w:uiPriority="70" w:name="Dark List Accent 3"/>
    <w:lsdException w:unhideWhenUsed="0" w:semiHidden="0" w:uiPriority="71" w:name="Colorful Shading Accent 3"/>
    <w:lsdException w:unhideWhenUsed="0" w:semiHidden="0" w:uiPriority="72" w:name="Colorful List Accent 3"/>
    <w:lsdException w:unhideWhenUsed="0" w:semiHidden="0" w:uiPriority="73" w:name="Colorful Grid Accent 3"/>
    <w:lsdException w:unhideWhenUsed="0" w:semiHidden="0" w:uiPriority="60" w:name="Light Shading Accent 4"/>
    <w:lsdException w:unhideWhenUsed="0" w:semiHidden="0" w:uiPriority="61" w:name="Light List Accent 4"/>
    <w:lsdException w:unhideWhenUsed="0" w:semiHidden="0" w:uiPriority="62" w:name="Light Grid Accent 4"/>
    <w:lsdException w:unhideWhenUsed="0" w:semiHidden="0" w:uiPriority="63" w:name="Medium Shading 1 Accent 4"/>
    <w:lsdException w:unhideWhenUsed="0" w:semiHidden="0" w:uiPriority="64" w:name="Medium Shading 2 Accent 4"/>
    <w:lsdException w:unhideWhenUsed="0" w:semiHidden="0" w:uiPriority="65" w:name="Medium List 1 Accent 4"/>
    <w:lsdException w:unhideWhenUsed="0" w:semiHidden="0" w:uiPriority="66" w:name="Medium List 2 Accent 4"/>
    <w:lsdException w:unhideWhenUsed="0" w:semiHidden="0" w:uiPriority="67" w:name="Medium Grid 1 Accent 4"/>
    <w:lsdException w:unhideWhenUsed="0" w:semiHidden="0" w:uiPriority="68" w:name="Medium Grid 2 Accent 4"/>
    <w:lsdException w:unhideWhenUsed="0" w:semiHidden="0" w:uiPriority="69" w:name="Medium Grid 3 Accent 4"/>
    <w:lsdException w:unhideWhenUsed="0" w:semiHidden="0" w:uiPriority="70" w:name="Dark List Accent 4"/>
    <w:lsdException w:unhideWhenUsed="0" w:semiHidden="0" w:uiPriority="71" w:name="Colorful Shading Accent 4"/>
    <w:lsdException w:unhideWhenUsed="0" w:semiHidden="0" w:uiPriority="72" w:name="Colorful List Accent 4"/>
    <w:lsdException w:unhideWhenUsed="0" w:semiHidden="0" w:uiPriority="73" w:name="Colorful Grid Accent 4"/>
    <w:lsdException w:unhideWhenUsed="0" w:semiHidden="0" w:uiPriority="60" w:name="Light Shading Accent 5"/>
    <w:lsdException w:unhideWhenUsed="0" w:semiHidden="0" w:uiPriority="61" w:name="Light List Accent 5"/>
    <w:lsdException w:unhideWhenUsed="0" w:semiHidden="0" w:uiPriority="62" w:name="Light Grid Accent 5"/>
    <w:lsdException w:unhideWhenUsed="0" w:semiHidden="0" w:uiPriority="63" w:name="Medium Shading 1 Accent 5"/>
    <w:lsdException w:unhideWhenUsed="0" w:semiHidden="0" w:uiPriority="64" w:name="Medium Shading 2 Accent 5"/>
    <w:lsdException w:unhideWhenUsed="0" w:semiHidden="0" w:uiPriority="65" w:name="Medium List 1 Accent 5"/>
    <w:lsdException w:unhideWhenUsed="0" w:semiHidden="0" w:uiPriority="66" w:name="Medium List 2 Accent 5"/>
    <w:lsdException w:unhideWhenUsed="0" w:semiHidden="0" w:uiPriority="67" w:name="Medium Grid 1 Accent 5"/>
    <w:lsdException w:unhideWhenUsed="0" w:semiHidden="0" w:uiPriority="68" w:name="Medium Grid 2 Accent 5"/>
    <w:lsdException w:unhideWhenUsed="0" w:semiHidden="0" w:uiPriority="69" w:name="Medium Grid 3 Accent 5"/>
    <w:lsdException w:unhideWhenUsed="0" w:semiHidden="0" w:uiPriority="70" w:name="Dark List Accent 5"/>
    <w:lsdException w:unhideWhenUsed="0" w:semiHidden="0" w:uiPriority="71" w:name="Colorful Shading Accent 5"/>
    <w:lsdException w:unhideWhenUsed="0" w:semiHidden="0" w:uiPriority="72" w:name="Colorful List Accent 5"/>
    <w:lsdException w:unhideWhenUsed="0" w:semiHidden="0" w:uiPriority="73" w:name="Colorful Grid Accent 5"/>
    <w:lsdException w:unhideWhenUsed="0" w:semiHidden="0" w:uiPriority="60" w:name="Light Shading Accent 6"/>
    <w:lsdException w:unhideWhenUsed="0" w:semiHidden="0" w:uiPriority="61" w:name="Light List Accent 6"/>
    <w:lsdException w:unhideWhenUsed="0" w:semiHidden="0" w:uiPriority="62" w:name="Light Grid Accent 6"/>
    <w:lsdException w:unhideWhenUsed="0" w:semiHidden="0" w:uiPriority="63" w:name="Medium Shading 1 Accent 6"/>
    <w:lsdException w:unhideWhenUsed="0" w:semiHidden="0" w:uiPriority="64" w:name="Medium Shading 2 Accent 6"/>
    <w:lsdException w:unhideWhenUsed="0" w:semiHidden="0" w:uiPriority="65" w:name="Medium List 1 Accent 6"/>
    <w:lsdException w:unhideWhenUsed="0" w:semiHidden="0" w:uiPriority="66" w:name="Medium List 2 Accent 6"/>
    <w:lsdException w:unhideWhenUsed="0" w:semiHidden="0" w:uiPriority="67" w:name="Medium Grid 1 Accent 6"/>
    <w:lsdException w:unhideWhenUsed="0" w:semiHidden="0" w:uiPriority="68" w:name="Medium Grid 2 Accent 6"/>
    <w:lsdException w:unhideWhenUsed="0" w:semiHidden="0" w:uiPriority="69" w:name="Medium Grid 3 Accent 6"/>
    <w:lsdException w:unhideWhenUsed="0" w:semiHidden="0" w:uiPriority="70" w:name="Dark List Accent 6"/>
    <w:lsdException w:unhideWhenUsed="0" w:semiHidden="0" w:uiPriority="71" w:name="Colorful Shading Accent 6"/>
    <w:lsdException w:unhideWhenUsed="0" w:semiHidden="0" w:uiPriority="72" w:name="Colorful List Accent 6"/>
    <w:lsdException w:unhideWhenUsed="0" w:semiHidden="0" w:uiPriority="73" w:name="Colorful Grid Accent 6"/>
    <w:lsdException w:qFormat="1" w:unhideWhenUsed="0" w:semiHidden="0" w:uiPriority="19" w:name="Subtle Emphasis"/>
    <w:lsdException w:qFormat="1" w:unhideWhenUsed="0" w:semiHidden="0" w:uiPriority="21" w:name="Intense Emphasis"/>
    <w:lsdException w:qFormat="1" w:unhideWhenUsed="0" w:semiHidden="0" w:uiPriority="31" w:name="Subtle Reference"/>
    <w:lsdException w:qFormat="1" w:unhideWhenUsed="0" w:semiHidden="0" w:uiPriority="32" w:name="Intense Reference"/>
    <w:lsdException w:qFormat="1" w:unhideWhenUsed="0" w:semiHidden="0" w:uiPriority="33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6d1a14"/>
    <w:pPr>
      <w:widowControl/>
      <w:suppressAutoHyphens w:val="true"/>
      <w:bidi w:val="0"/>
      <w:spacing w:lineRule="auto" w:line="12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Style14">
    <w:name w:val="Интернет-ссылка"/>
    <w:basedOn w:val="DefaultParagraphFont"/>
    <w:rsid w:val="006d1a14"/>
    <w:rPr>
      <w:color w:val="0000FF"/>
      <w:u w:val="single"/>
      <w:lang w:val="zxx" w:eastAsia="zxx" w:bidi="zxx"/>
    </w:rPr>
  </w:style>
  <w:style w:type="character" w:styleId="Style15" w:customStyle="1">
    <w:name w:val="Основной текст_"/>
    <w:basedOn w:val="DefaultParagraphFont"/>
    <w:rsid w:val="006d1a14"/>
    <w:rPr/>
  </w:style>
  <w:style w:type="character" w:styleId="Style16" w:customStyle="1">
    <w:name w:val="Основной текст Знак"/>
    <w:basedOn w:val="DefaultParagraphFont"/>
    <w:link w:val="a5"/>
    <w:rsid w:val="006d1a14"/>
    <w:rPr>
      <w:rFonts w:ascii="Times New Roman" w:hAnsi="Times New Roman" w:eastAsia="Lucida Sans Unicode" w:cs="Tahoma"/>
      <w:color w:val="000000"/>
      <w:sz w:val="24"/>
      <w:szCs w:val="24"/>
      <w:lang w:val="en-US" w:bidi="en-US"/>
    </w:rPr>
  </w:style>
  <w:style w:type="paragraph" w:styleId="Style17">
    <w:name w:val="Заголовок"/>
    <w:basedOn w:val="Normal"/>
    <w:next w:val="Style18"/>
    <w:pPr>
      <w:keepNext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Style18">
    <w:name w:val="Основной текст"/>
    <w:basedOn w:val="Normal"/>
    <w:link w:val="a6"/>
    <w:rsid w:val="006d1a14"/>
    <w:pPr>
      <w:widowControl w:val="false"/>
      <w:suppressAutoHyphens w:val="true"/>
      <w:spacing w:lineRule="auto" w:line="240" w:before="0" w:after="120"/>
      <w:jc w:val="left"/>
    </w:pPr>
    <w:rPr>
      <w:rFonts w:ascii="Times New Roman" w:hAnsi="Times New Roman" w:eastAsia="Lucida Sans Unicode" w:cs="Tahoma"/>
      <w:color w:val="000000"/>
      <w:sz w:val="24"/>
      <w:szCs w:val="24"/>
      <w:lang w:val="en-US" w:bidi="en-US"/>
    </w:rPr>
  </w:style>
  <w:style w:type="paragraph" w:styleId="Style19">
    <w:name w:val="Список"/>
    <w:basedOn w:val="Style18"/>
    <w:pPr/>
    <w:rPr>
      <w:rFonts w:cs="Lohit Devanagari"/>
    </w:rPr>
  </w:style>
  <w:style w:type="paragraph" w:styleId="Style20">
    <w:name w:val="Название"/>
    <w:basedOn w:val="Normal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1">
    <w:name w:val="Указатель"/>
    <w:basedOn w:val="Normal"/>
    <w:pPr>
      <w:suppressLineNumbers/>
    </w:pPr>
    <w:rPr>
      <w:rFonts w:cs="Lohit Devanagari"/>
    </w:rPr>
  </w:style>
  <w:style w:type="paragraph" w:styleId="1" w:customStyle="1">
    <w:name w:val="Основной текст1"/>
    <w:basedOn w:val="Normal"/>
    <w:rsid w:val="006d1a14"/>
    <w:pPr>
      <w:widowControl w:val="false"/>
      <w:shd w:fill="FFFFFF" w:val="clear"/>
      <w:spacing w:lineRule="exact" w:line="324" w:before="0" w:after="300"/>
      <w:jc w:val="center"/>
    </w:pPr>
    <w:rPr>
      <w:rFonts w:ascii="Times New Roman" w:hAnsi="Times New Roman" w:eastAsia="Times New Roman" w:cs="Tahoma"/>
      <w:color w:val="000000"/>
      <w:sz w:val="28"/>
      <w:szCs w:val="28"/>
      <w:lang w:val="en-US" w:bidi="en-US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LibreOffice/4.3.7.2$Linux_X86_64 LibreOffice_project/430$Build-2</Application>
  <Paragraphs>55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2018-09-12T08:53:00Z</dcterms:created>
  <dc:creator>Ivanov_V_A</dc:creator>
  <dc:language>ru-RU</dc:language>
  <cp:lastPrinted>2018-09-12T09:15:00Z</cp:lastPrinted>
  <dcterms:modified xsi:type="dcterms:W3CDTF">2018-09-12T12:30:11Z</dcterms:modified>
  <cp:revision>2</cp:revision>
</cp:coreProperties>
</file>