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jc w:val="center"/>
      </w:pPr>
      <w:r>
        <w:rPr>
          <w:rFonts w:eastAsia="Times New Roman" w:cs="Times New Roman" w:ascii="Times New Roman" w:hAnsi="Times New Roman"/>
          <w:b/>
          <w:bCs/>
          <w:sz w:val="28"/>
          <w:szCs w:val="28"/>
        </w:rPr>
        <w:t xml:space="preserve"> </w:t>
      </w:r>
      <w:r>
        <w:rPr>
          <w:rFonts w:eastAsia="Times New Roman" w:cs="Times New Roman" w:ascii="Times New Roman" w:hAnsi="Times New Roman"/>
          <w:b/>
          <w:bCs/>
          <w:sz w:val="28"/>
          <w:szCs w:val="28"/>
        </w:rPr>
        <w:t>О</w:t>
      </w:r>
      <w:r>
        <w:rPr>
          <w:rFonts w:eastAsia="Times New Roman" w:cs="Times New Roman" w:ascii="Times New Roman" w:hAnsi="Times New Roman"/>
          <w:b/>
          <w:bCs/>
          <w:sz w:val="28"/>
          <w:szCs w:val="28"/>
        </w:rPr>
        <w:t xml:space="preserve">б итогах деятельности </w:t>
      </w:r>
      <w:r>
        <w:rPr>
          <w:rFonts w:eastAsia="Times New Roman" w:cs="Times New Roman" w:ascii="Times New Roman" w:hAnsi="Times New Roman"/>
          <w:b/>
          <w:bCs/>
          <w:sz w:val="28"/>
          <w:szCs w:val="28"/>
        </w:rPr>
        <w:t xml:space="preserve">УФССП России по Тверской области </w:t>
      </w:r>
      <w:r>
        <w:rPr>
          <w:rFonts w:eastAsia="Times New Roman" w:cs="Times New Roman" w:ascii="Times New Roman" w:hAnsi="Times New Roman"/>
          <w:b/>
          <w:bCs/>
          <w:sz w:val="28"/>
          <w:szCs w:val="28"/>
        </w:rPr>
        <w:t>по профилактике и выявлению коррупционных и иных правонарушений со стороны федеральных государственных гражданских служащих</w:t>
      </w:r>
      <w:r/>
    </w:p>
    <w:p>
      <w:pPr>
        <w:pStyle w:val="Normal"/>
        <w:spacing w:lineRule="auto" w:line="240"/>
        <w:jc w:val="center"/>
      </w:pPr>
      <w:r>
        <w:rPr>
          <w:rFonts w:eastAsia="Times New Roman" w:cs="Times New Roman" w:ascii="Times New Roman" w:hAnsi="Times New Roman"/>
          <w:b/>
          <w:bCs/>
          <w:sz w:val="28"/>
          <w:szCs w:val="28"/>
        </w:rPr>
        <w:t xml:space="preserve"> </w:t>
      </w:r>
      <w:r>
        <w:rPr>
          <w:rFonts w:eastAsia="Times New Roman" w:cs="Times New Roman" w:ascii="Times New Roman" w:hAnsi="Times New Roman"/>
          <w:b/>
          <w:bCs/>
          <w:sz w:val="28"/>
          <w:szCs w:val="28"/>
        </w:rPr>
        <w:t xml:space="preserve">в  </w:t>
      </w:r>
      <w:r>
        <w:rPr>
          <w:rFonts w:eastAsia="Times New Roman" w:cs="Times New Roman" w:ascii="Times New Roman" w:hAnsi="Times New Roman"/>
          <w:b/>
          <w:bCs/>
          <w:sz w:val="28"/>
          <w:szCs w:val="28"/>
        </w:rPr>
        <w:t xml:space="preserve">1 полугодии </w:t>
      </w:r>
      <w:r>
        <w:rPr>
          <w:rFonts w:eastAsia="Times New Roman" w:cs="Times New Roman" w:ascii="Times New Roman" w:hAnsi="Times New Roman"/>
          <w:b/>
          <w:bCs/>
          <w:sz w:val="28"/>
          <w:szCs w:val="28"/>
        </w:rPr>
        <w:t xml:space="preserve"> 20</w:t>
      </w:r>
      <w:r>
        <w:rPr>
          <w:rFonts w:eastAsia="Times New Roman" w:cs="Times New Roman" w:ascii="Times New Roman" w:hAnsi="Times New Roman"/>
          <w:b/>
          <w:bCs/>
          <w:sz w:val="28"/>
          <w:szCs w:val="28"/>
        </w:rPr>
        <w:t>20</w:t>
      </w:r>
      <w:r>
        <w:rPr>
          <w:rFonts w:eastAsia="Times New Roman" w:cs="Times New Roman" w:ascii="Times New Roman" w:hAnsi="Times New Roman"/>
          <w:b/>
          <w:bCs/>
          <w:sz w:val="28"/>
          <w:szCs w:val="28"/>
        </w:rPr>
        <w:t xml:space="preserve"> год</w:t>
      </w:r>
      <w:r>
        <w:rPr>
          <w:rFonts w:eastAsia="Times New Roman" w:cs="Times New Roman" w:ascii="Times New Roman" w:hAnsi="Times New Roman"/>
          <w:b/>
          <w:bCs/>
          <w:sz w:val="28"/>
          <w:szCs w:val="28"/>
        </w:rPr>
        <w:t>а</w:t>
      </w:r>
      <w:r>
        <w:rPr>
          <w:rFonts w:eastAsia="Times New Roman" w:cs="Times New Roman" w:ascii="Times New Roman" w:hAnsi="Times New Roman"/>
          <w:b/>
          <w:bCs/>
          <w:sz w:val="28"/>
          <w:szCs w:val="28"/>
        </w:rPr>
        <w:t xml:space="preserve">. </w:t>
      </w:r>
      <w:r/>
    </w:p>
    <w:p>
      <w:pPr>
        <w:pStyle w:val="Normal"/>
        <w:spacing w:lineRule="auto" w:line="240"/>
        <w:jc w:val="center"/>
        <w:rPr>
          <w:sz w:val="28"/>
          <w:sz w:val="28"/>
          <w:szCs w:val="28"/>
          <w:rFonts w:ascii="Times New Roman" w:hAnsi="Times New Roman" w:eastAsia="Calibri" w:cs="Times New Roman" w:eastAsiaTheme="minorHAnsi"/>
          <w:color w:val="00000A"/>
          <w:lang w:val="ru-RU" w:eastAsia="en-US" w:bidi="ar-SA"/>
        </w:rPr>
      </w:pPr>
      <w:r>
        <w:rPr>
          <w:rFonts w:eastAsia="Calibri" w:cs="Times New Roman" w:eastAsiaTheme="minorHAnsi" w:ascii="Times New Roman" w:hAnsi="Times New Roman"/>
          <w:color w:val="00000A"/>
          <w:sz w:val="28"/>
          <w:szCs w:val="28"/>
          <w:lang w:val="ru-RU" w:eastAsia="en-US" w:bidi="ar-SA"/>
        </w:rPr>
      </w:r>
      <w:r/>
    </w:p>
    <w:p>
      <w:pPr>
        <w:pStyle w:val="Style19"/>
        <w:spacing w:before="0" w:after="0"/>
        <w:jc w:val="both"/>
      </w:pPr>
      <w:r>
        <w:rPr>
          <w:rFonts w:cs="Times New Roman"/>
          <w:sz w:val="27"/>
          <w:szCs w:val="27"/>
          <w:lang w:val="ru-RU"/>
        </w:rPr>
        <w:tab/>
        <w:t xml:space="preserve">В Управлении организована работы по уведомлению государственными гражданскими служащими о фактах обращения к ним с целью склонения </w:t>
        <w:br/>
        <w:t xml:space="preserve">к совершению коррупционных правонарушений.  В первом полугодии 2020 году уведомлений о фактах обращения к ним в целях склонения совершению коррупционных правонарушений от государственных служащих Управления не поступало. </w:t>
      </w:r>
      <w:r/>
    </w:p>
    <w:p>
      <w:pPr>
        <w:pStyle w:val="Style19"/>
        <w:spacing w:lineRule="auto" w:line="240" w:before="0" w:after="0"/>
        <w:jc w:val="both"/>
      </w:pPr>
      <w:r>
        <w:rPr>
          <w:rFonts w:cs="Times New Roman"/>
          <w:sz w:val="27"/>
          <w:szCs w:val="27"/>
          <w:lang w:val="ru-RU"/>
        </w:rPr>
        <w:tab/>
      </w:r>
      <w:r>
        <w:rPr>
          <w:rFonts w:cs="Times New Roman"/>
          <w:b w:val="false"/>
          <w:bCs w:val="false"/>
          <w:sz w:val="27"/>
          <w:szCs w:val="27"/>
          <w:lang w:val="ru-RU"/>
        </w:rPr>
        <w:t xml:space="preserve">В первом полугодии 2020 году уведомления о склонении от государственных гражданских служащих Управления к совершению коррупционных правонарушений не поступали. </w:t>
      </w:r>
      <w:r/>
    </w:p>
    <w:p>
      <w:pPr>
        <w:pStyle w:val="Normal"/>
        <w:suppressAutoHyphens w:val="true"/>
        <w:spacing w:lineRule="auto" w:line="240"/>
        <w:jc w:val="both"/>
      </w:pPr>
      <w:r>
        <w:rPr>
          <w:rFonts w:eastAsia="Times New Roman" w:cs="Times New Roman" w:ascii="Times New Roman" w:hAnsi="Times New Roman"/>
          <w:b w:val="false"/>
          <w:bCs w:val="false"/>
          <w:sz w:val="27"/>
          <w:szCs w:val="27"/>
        </w:rPr>
        <w:t xml:space="preserve">  </w:t>
      </w:r>
      <w:r>
        <w:rPr>
          <w:rStyle w:val="Style16"/>
          <w:rFonts w:eastAsia="Times New Roman" w:cs="Times New Roman" w:ascii="Times New Roman" w:hAnsi="Times New Roman"/>
          <w:b w:val="false"/>
          <w:bCs w:val="false"/>
          <w:sz w:val="27"/>
          <w:szCs w:val="27"/>
        </w:rPr>
        <w:t xml:space="preserve">  </w:t>
      </w:r>
      <w:r>
        <w:rPr>
          <w:rStyle w:val="Style16"/>
          <w:rFonts w:eastAsia="Times New Roman" w:cs="Times New Roman" w:ascii="Times New Roman" w:hAnsi="Times New Roman"/>
          <w:b w:val="false"/>
          <w:bCs w:val="false"/>
          <w:sz w:val="27"/>
          <w:szCs w:val="27"/>
        </w:rPr>
        <w:tab/>
      </w:r>
      <w:r>
        <w:rPr>
          <w:rStyle w:val="Style16"/>
          <w:rFonts w:cs="Times New Roman" w:ascii="Times New Roman" w:hAnsi="Times New Roman"/>
          <w:b w:val="false"/>
          <w:bCs w:val="false"/>
          <w:sz w:val="27"/>
          <w:szCs w:val="27"/>
        </w:rPr>
        <w:t>Отделом государственной службы и кадров, противодействия коррупции, до перехода службы в органы принудительного исполнения, было обеспечено ознакомление вновь поступающих на службу государственных гражданских служащих с требованиями законодательства о прохождении госуда</w:t>
      </w:r>
      <w:r>
        <w:rPr>
          <w:rStyle w:val="Style16"/>
          <w:rFonts w:cs="Times New Roman" w:ascii="Times New Roman" w:hAnsi="Times New Roman"/>
          <w:b w:val="false"/>
          <w:bCs w:val="false"/>
          <w:sz w:val="27"/>
          <w:szCs w:val="27"/>
          <w:shd w:fill="FFFFFF" w:val="clear"/>
        </w:rPr>
        <w:t>рственной гражданской службы в ФССП России в сфере противодействия коррупции.</w:t>
      </w:r>
      <w:r/>
    </w:p>
    <w:p>
      <w:pPr>
        <w:pStyle w:val="Normal"/>
        <w:suppressAutoHyphens w:val="true"/>
        <w:spacing w:lineRule="auto" w:line="240"/>
        <w:jc w:val="both"/>
      </w:pPr>
      <w:r>
        <w:rPr>
          <w:rStyle w:val="Style16"/>
          <w:rFonts w:eastAsia="Times New Roman" w:cs="Times New Roman" w:ascii="Times New Roman" w:hAnsi="Times New Roman"/>
          <w:b w:val="false"/>
          <w:bCs w:val="false"/>
          <w:sz w:val="27"/>
          <w:szCs w:val="27"/>
          <w:shd w:fill="FFFFFF" w:val="clear"/>
        </w:rPr>
        <w:t xml:space="preserve">     </w:t>
      </w:r>
      <w:r>
        <w:rPr>
          <w:rStyle w:val="Style15"/>
          <w:rFonts w:eastAsia="Times New Roman" w:cs="Times New Roman" w:ascii="Times New Roman" w:hAnsi="Times New Roman"/>
          <w:b w:val="false"/>
          <w:bCs w:val="false"/>
          <w:sz w:val="27"/>
          <w:szCs w:val="27"/>
          <w:shd w:fill="FFFFFF" w:val="clear"/>
          <w:lang w:val="ru-RU"/>
        </w:rPr>
        <w:t>В отчетном периоде  в отношении граж</w:t>
      </w:r>
      <w:r>
        <w:rPr>
          <w:rStyle w:val="Style15"/>
          <w:rFonts w:cs="Times New Roman" w:ascii="Times New Roman" w:hAnsi="Times New Roman"/>
          <w:b w:val="false"/>
          <w:bCs w:val="false"/>
          <w:sz w:val="27"/>
          <w:szCs w:val="27"/>
          <w:lang w:val="ru-RU"/>
        </w:rPr>
        <w:t>данских служащих информация в правоохранительные органы в порядке ст. ст.144, 145 УПК РФ не направлялась.</w:t>
      </w:r>
      <w:r>
        <w:rPr>
          <w:rFonts w:eastAsia="Times New Roman" w:cs="Times New Roman" w:ascii="Times New Roman" w:hAnsi="Times New Roman"/>
          <w:sz w:val="27"/>
          <w:szCs w:val="27"/>
        </w:rPr>
        <w:t xml:space="preserve"> </w:t>
      </w:r>
      <w:r/>
    </w:p>
    <w:p>
      <w:pPr>
        <w:pStyle w:val="Style19"/>
        <w:suppressAutoHyphens w:val="true"/>
        <w:spacing w:lineRule="auto" w:line="240" w:before="0" w:after="0"/>
        <w:jc w:val="both"/>
      </w:pPr>
      <w:r>
        <w:rPr>
          <w:rFonts w:eastAsia="Times New Roman" w:cs="Times New Roman"/>
          <w:b w:val="false"/>
          <w:bCs w:val="false"/>
          <w:sz w:val="27"/>
          <w:szCs w:val="27"/>
          <w:lang w:val="ru-RU" w:eastAsia="ru-RU" w:bidi="ru-RU"/>
        </w:rPr>
        <w:t xml:space="preserve">   </w:t>
      </w:r>
      <w:r>
        <w:rPr>
          <w:rFonts w:cs="Times New Roman"/>
          <w:b w:val="false"/>
          <w:bCs w:val="false"/>
          <w:sz w:val="27"/>
          <w:szCs w:val="27"/>
        </w:rPr>
        <w:t>В целях информированности сторон исполнительного производства</w:t>
        <w:br/>
        <w:t>о правилах оплаты долга на стендах по вопросам противодействия коррупции в районных (межрайонных) отделах судебных приставов Управления размещена  информация о порядке оплаты  долга через депозитный счет структурного подразделения Управления, в котором возбуждено исполнительное производство, а также о возможности оплаты долга с помощью электронных платежных систем, указанных на официальном сайте ФССП России. Также до граждан доведена информация об алгоритме действий по пресечению коррупционных проявлений в виде взяточничества.</w:t>
      </w:r>
      <w:r/>
    </w:p>
    <w:p>
      <w:pPr>
        <w:pStyle w:val="Normal"/>
        <w:suppressAutoHyphens w:val="true"/>
        <w:spacing w:lineRule="auto" w:line="240"/>
        <w:jc w:val="both"/>
      </w:pPr>
      <w:r>
        <w:rPr>
          <w:rFonts w:eastAsia="Times New Roman" w:cs="Times New Roman" w:ascii="Times New Roman" w:hAnsi="Times New Roman"/>
          <w:b w:val="false"/>
          <w:bCs w:val="false"/>
          <w:sz w:val="27"/>
          <w:szCs w:val="27"/>
        </w:rPr>
        <w:t xml:space="preserve">      </w:t>
      </w:r>
      <w:r>
        <w:rPr>
          <w:rFonts w:cs="Times New Roman" w:ascii="Times New Roman" w:hAnsi="Times New Roman"/>
          <w:b w:val="false"/>
          <w:bCs w:val="false"/>
          <w:sz w:val="27"/>
          <w:szCs w:val="27"/>
        </w:rPr>
        <w:t>Управлением осуществляется мониторинг в целях выявления коррупционных рисков в деятельности Управления по размещению государственных заказов и принимаются меры по их устранению.</w:t>
      </w:r>
      <w:r/>
    </w:p>
    <w:p>
      <w:pPr>
        <w:pStyle w:val="Normal"/>
        <w:suppressAutoHyphens w:val="true"/>
        <w:spacing w:lineRule="auto" w:line="240"/>
        <w:jc w:val="both"/>
      </w:pPr>
      <w:r>
        <w:rPr>
          <w:rFonts w:eastAsia="Times New Roman" w:cs="Times New Roman" w:ascii="Times New Roman" w:hAnsi="Times New Roman"/>
          <w:b w:val="false"/>
          <w:bCs w:val="false"/>
          <w:sz w:val="27"/>
          <w:szCs w:val="27"/>
          <w:lang w:val="ru-RU"/>
        </w:rPr>
        <w:t xml:space="preserve">        </w:t>
      </w:r>
      <w:r>
        <w:rPr>
          <w:rFonts w:cs="Times New Roman" w:ascii="Times New Roman" w:hAnsi="Times New Roman"/>
          <w:b w:val="false"/>
          <w:bCs w:val="false"/>
          <w:sz w:val="27"/>
          <w:szCs w:val="27"/>
        </w:rPr>
        <w:tab/>
        <w:t>В целях профилактики коррупционных и иных правонарушений в состав Единой комиссии по размещению заказов на поставки товаров, выполнению работ и оказанию услуг включен сотрудник Управления, ответственный за профилактику коррупционных и иных правонарушений.</w:t>
      </w:r>
      <w:r/>
    </w:p>
    <w:p>
      <w:pPr>
        <w:pStyle w:val="Normal"/>
        <w:suppressAutoHyphens w:val="true"/>
        <w:spacing w:lineRule="auto" w:line="240"/>
        <w:jc w:val="both"/>
      </w:pPr>
      <w:r>
        <w:rPr>
          <w:rFonts w:eastAsia="Times New Roman" w:cs="Times New Roman" w:ascii="Times New Roman" w:hAnsi="Times New Roman"/>
          <w:b w:val="false"/>
          <w:bCs w:val="false"/>
          <w:sz w:val="27"/>
          <w:szCs w:val="27"/>
          <w:lang w:val="ru-RU"/>
        </w:rPr>
        <w:t xml:space="preserve">  </w:t>
      </w:r>
      <w:r>
        <w:rPr>
          <w:rFonts w:eastAsia="Times New Roman" w:cs="Times New Roman" w:ascii="Times New Roman" w:hAnsi="Times New Roman"/>
          <w:b w:val="false"/>
          <w:bCs w:val="false"/>
          <w:sz w:val="27"/>
          <w:szCs w:val="27"/>
          <w:shd w:fill="FFFFFF" w:val="clear"/>
          <w:lang w:val="ru-RU"/>
        </w:rPr>
        <w:t xml:space="preserve">    </w:t>
      </w:r>
      <w:r>
        <w:rPr>
          <w:rFonts w:cs="Times New Roman" w:ascii="Times New Roman" w:hAnsi="Times New Roman"/>
          <w:b w:val="false"/>
          <w:bCs w:val="false"/>
          <w:sz w:val="27"/>
          <w:szCs w:val="27"/>
          <w:shd w:fill="FFFFFF" w:val="clear"/>
          <w:lang w:val="ru-RU"/>
        </w:rPr>
        <w:t>В 1 полугодии 2020 года на участие в процедурах, связанных с поставками товаров, выполнением работ и оказанием услуг, было получено 90 заявок.</w:t>
      </w:r>
      <w:r/>
    </w:p>
    <w:p>
      <w:pPr>
        <w:pStyle w:val="Normal"/>
        <w:suppressAutoHyphens w:val="true"/>
        <w:spacing w:lineRule="auto" w:line="240"/>
        <w:jc w:val="both"/>
      </w:pPr>
      <w:r>
        <w:rPr>
          <w:rFonts w:eastAsia="Times New Roman" w:cs="Times New Roman" w:ascii="Times New Roman" w:hAnsi="Times New Roman"/>
          <w:b w:val="false"/>
          <w:bCs w:val="false"/>
          <w:sz w:val="27"/>
          <w:szCs w:val="27"/>
          <w:shd w:fill="FFFFFF" w:val="clear"/>
          <w:lang w:val="ru-RU"/>
        </w:rPr>
        <w:t xml:space="preserve">      </w:t>
      </w:r>
      <w:r>
        <w:rPr>
          <w:rFonts w:cs="Times New Roman" w:ascii="Times New Roman" w:hAnsi="Times New Roman"/>
          <w:b w:val="false"/>
          <w:bCs w:val="false"/>
          <w:sz w:val="27"/>
          <w:szCs w:val="27"/>
          <w:shd w:fill="FFFFFF" w:val="clear"/>
          <w:lang w:val="ru-RU"/>
        </w:rPr>
        <w:t>До участия в процедурах, связанных с поставками товаров, выполнением работ и оказанием услуг, в соответствии с действующим законодательством, было допущено 64 организации.</w:t>
      </w:r>
      <w:r/>
    </w:p>
    <w:p>
      <w:pPr>
        <w:pStyle w:val="Normal"/>
        <w:suppressAutoHyphens w:val="true"/>
        <w:spacing w:lineRule="auto" w:line="240"/>
        <w:jc w:val="both"/>
      </w:pPr>
      <w:r>
        <w:rPr>
          <w:rFonts w:eastAsia="Times New Roman" w:cs="Times New Roman" w:ascii="Times New Roman" w:hAnsi="Times New Roman"/>
          <w:b w:val="false"/>
          <w:bCs w:val="false"/>
          <w:sz w:val="27"/>
          <w:szCs w:val="27"/>
          <w:shd w:fill="FFFFFF" w:val="clear"/>
          <w:lang w:val="ru-RU"/>
        </w:rPr>
        <w:t xml:space="preserve">      </w:t>
      </w:r>
      <w:r>
        <w:rPr>
          <w:rFonts w:cs="Times New Roman" w:ascii="Times New Roman" w:hAnsi="Times New Roman"/>
          <w:b w:val="false"/>
          <w:bCs w:val="false"/>
          <w:sz w:val="27"/>
          <w:szCs w:val="27"/>
          <w:shd w:fill="FFFFFF" w:val="clear"/>
          <w:lang w:val="ru-RU"/>
        </w:rPr>
        <w:t>В ходе проведенных проверок установлено, что 64 организации, в том числе юридические  лица и индивидуальные предприниматели, принявшие участие в процедурах при размещении Управлением заказов на поставки товаров, выполнение работ, оказание услуг, в реестре недобросовестных поставщиков не значатся.</w:t>
      </w:r>
      <w:r/>
    </w:p>
    <w:p>
      <w:pPr>
        <w:pStyle w:val="Normal"/>
        <w:suppressAutoHyphens w:val="true"/>
        <w:spacing w:lineRule="auto" w:line="240"/>
        <w:jc w:val="both"/>
      </w:pPr>
      <w:r>
        <w:rPr>
          <w:rFonts w:eastAsia="Times New Roman" w:cs="Times New Roman" w:ascii="Times New Roman" w:hAnsi="Times New Roman"/>
          <w:b w:val="false"/>
          <w:bCs w:val="false"/>
          <w:sz w:val="27"/>
          <w:szCs w:val="27"/>
          <w:shd w:fill="FFFFFF" w:val="clear"/>
          <w:lang w:val="ru-RU"/>
        </w:rPr>
        <w:t xml:space="preserve">       </w:t>
      </w:r>
      <w:r>
        <w:rPr>
          <w:rFonts w:cs="Times New Roman" w:ascii="Times New Roman" w:hAnsi="Times New Roman"/>
          <w:b w:val="false"/>
          <w:bCs w:val="false"/>
          <w:sz w:val="27"/>
          <w:szCs w:val="27"/>
          <w:shd w:fill="FFFFFF" w:val="clear"/>
          <w:lang w:val="ru-RU"/>
        </w:rPr>
        <w:t>В отчетном периоде  проведено 52 заседания Единой комиссии по размещению заказов на поставки товаров, выполнению работ и оказанию услуг. В результате проведенных торгов в форме конкурсов, аукционов и без проведения торгов путем запроса котировок заключено 28 государственных контрактов.</w:t>
      </w:r>
      <w:r/>
    </w:p>
    <w:p>
      <w:pPr>
        <w:pStyle w:val="Normal"/>
        <w:suppressAutoHyphens w:val="true"/>
        <w:spacing w:lineRule="auto" w:line="240"/>
        <w:jc w:val="both"/>
      </w:pPr>
      <w:r>
        <w:rPr>
          <w:rFonts w:eastAsia="Times New Roman" w:cs="Times New Roman" w:ascii="Times New Roman" w:hAnsi="Times New Roman"/>
          <w:b w:val="false"/>
          <w:bCs w:val="false"/>
          <w:sz w:val="27"/>
          <w:szCs w:val="27"/>
          <w:shd w:fill="FFFFFF" w:val="clear"/>
        </w:rPr>
        <w:t xml:space="preserve">    </w:t>
      </w:r>
      <w:r>
        <w:rPr>
          <w:rFonts w:cs="Times New Roman" w:ascii="Times New Roman" w:hAnsi="Times New Roman"/>
          <w:b w:val="false"/>
          <w:bCs w:val="false"/>
          <w:sz w:val="27"/>
          <w:szCs w:val="27"/>
          <w:shd w:fill="FFFFFF" w:val="clear"/>
        </w:rPr>
        <w:t>Признаков коррупционных правонарушений в ходе работы Единой комиссии по размещению заказов на поставки товаров, выполнению работ и оказанию услуг Управления в первом полугодии 2020 года не выявлено.</w:t>
      </w:r>
      <w:r/>
    </w:p>
    <w:p>
      <w:pPr>
        <w:pStyle w:val="Normal"/>
        <w:suppressAutoHyphens w:val="true"/>
        <w:spacing w:lineRule="auto" w:line="240"/>
        <w:jc w:val="both"/>
      </w:pPr>
      <w:r>
        <w:rPr>
          <w:rFonts w:eastAsia="Times New Roman" w:cs="Times New Roman" w:ascii="Times New Roman" w:hAnsi="Times New Roman"/>
          <w:b w:val="false"/>
          <w:bCs w:val="false"/>
          <w:sz w:val="27"/>
          <w:szCs w:val="27"/>
        </w:rPr>
        <w:t xml:space="preserve">  </w:t>
      </w:r>
      <w:r>
        <w:rPr>
          <w:rFonts w:cs="Times New Roman" w:ascii="Times New Roman" w:hAnsi="Times New Roman"/>
          <w:b w:val="false"/>
          <w:bCs w:val="false"/>
          <w:sz w:val="27"/>
          <w:szCs w:val="27"/>
        </w:rPr>
        <w:t>В 1 полугодии 2020 года сотрудники, ответственные за профилактику коррупционных правонарушений,  участие в проверках структурных подразделений не принимали.</w:t>
      </w:r>
      <w:r/>
    </w:p>
    <w:p>
      <w:pPr>
        <w:pStyle w:val="Normal"/>
        <w:suppressAutoHyphens w:val="true"/>
        <w:spacing w:lineRule="auto" w:line="240"/>
        <w:jc w:val="both"/>
      </w:pPr>
      <w:r>
        <w:rPr>
          <w:rFonts w:eastAsia="Times New Roman" w:cs="Times New Roman" w:ascii="Times New Roman" w:hAnsi="Times New Roman"/>
          <w:b w:val="false"/>
          <w:bCs w:val="false"/>
          <w:color w:val="000000"/>
          <w:sz w:val="27"/>
          <w:szCs w:val="27"/>
        </w:rPr>
        <w:t xml:space="preserve">     </w:t>
      </w:r>
      <w:r>
        <w:rPr>
          <w:rFonts w:eastAsia="Times New Roman" w:cs="Times New Roman" w:ascii="Times New Roman" w:hAnsi="Times New Roman"/>
          <w:b w:val="false"/>
          <w:bCs w:val="false"/>
          <w:sz w:val="27"/>
          <w:szCs w:val="27"/>
          <w:lang w:val="ru-RU"/>
        </w:rPr>
        <w:t xml:space="preserve">   </w:t>
      </w:r>
      <w:r>
        <w:rPr>
          <w:rFonts w:cs="Times New Roman" w:ascii="Times New Roman" w:hAnsi="Times New Roman"/>
          <w:b w:val="false"/>
          <w:bCs w:val="false"/>
          <w:sz w:val="27"/>
          <w:szCs w:val="27"/>
          <w:lang w:val="ru-RU"/>
        </w:rPr>
        <w:t xml:space="preserve">В соответствии с требованиями законодателя и указаниями ФССП России для                       исключения проникновения в Управление коррупционно уязвимых лиц с криминальным прошлым специалистами, ответственными за профилактику коррупционных правонарушений, во взаимодействии с правоохранительными органами Тверской области в 1 полугодии 2020 года проверен 1 кандидат на поступление на работу в Управление, на соответствие требованиям статьи 3 Федерального закона от 21.07.1997 № 118-ФЗ «О судебных приставах» и статьи 16 Федерального закона от 27.07.2004 № 79-ФЗ «О государственной гражданской службе Российской Федерации». </w:t>
      </w:r>
      <w:r/>
    </w:p>
    <w:p>
      <w:pPr>
        <w:pStyle w:val="Normal"/>
        <w:suppressAutoHyphens w:val="true"/>
        <w:spacing w:lineRule="auto" w:line="240"/>
        <w:jc w:val="both"/>
      </w:pPr>
      <w:r>
        <w:rPr>
          <w:rFonts w:eastAsia="Times New Roman" w:cs="Times New Roman" w:ascii="Times New Roman" w:hAnsi="Times New Roman"/>
          <w:b w:val="false"/>
          <w:bCs w:val="false"/>
          <w:color w:val="262626"/>
          <w:sz w:val="27"/>
          <w:szCs w:val="27"/>
          <w:lang w:val="ru-RU"/>
        </w:rPr>
        <w:t xml:space="preserve">     </w:t>
      </w:r>
      <w:r>
        <w:rPr>
          <w:rFonts w:eastAsia="Times New Roman" w:cs="Times New Roman" w:ascii="Times New Roman" w:hAnsi="Times New Roman"/>
          <w:b w:val="false"/>
          <w:bCs w:val="false"/>
          <w:color w:val="000000"/>
          <w:sz w:val="27"/>
          <w:szCs w:val="27"/>
          <w:shd w:fill="auto" w:val="clear"/>
          <w:lang w:val="ru-RU"/>
        </w:rPr>
        <w:t xml:space="preserve"> </w:t>
      </w:r>
      <w:r>
        <w:rPr>
          <w:rFonts w:cs="Times New Roman" w:ascii="Times New Roman" w:hAnsi="Times New Roman"/>
          <w:b w:val="false"/>
          <w:bCs w:val="false"/>
          <w:color w:val="000000"/>
          <w:sz w:val="27"/>
          <w:szCs w:val="27"/>
          <w:shd w:fill="auto" w:val="clear"/>
          <w:lang w:val="ru-RU"/>
        </w:rPr>
        <w:t>В связи с реформой, проходившей в  ФССП России в 2020 году, прием кандидатов на государственную гражданскую службу был ограничен, в связи с чем прием на службу был приостановлен. При переходе Управления в органы принудительного исполнения были проверены 650 кандидатов из числа работников  Управления, изъявивших жела</w:t>
      </w:r>
      <w:r>
        <w:rPr>
          <w:rFonts w:cs="Times New Roman" w:ascii="Times New Roman" w:hAnsi="Times New Roman"/>
          <w:b w:val="false"/>
          <w:bCs w:val="false"/>
          <w:color w:val="000000"/>
          <w:sz w:val="27"/>
          <w:szCs w:val="27"/>
          <w:lang w:val="ru-RU"/>
        </w:rPr>
        <w:t>ние поступить на должности в органы принудительного исполнения.</w:t>
      </w:r>
      <w:r/>
    </w:p>
    <w:p>
      <w:pPr>
        <w:pStyle w:val="Normal"/>
        <w:suppressAutoHyphens w:val="true"/>
        <w:spacing w:lineRule="auto" w:line="240"/>
        <w:jc w:val="both"/>
      </w:pPr>
      <w:r>
        <w:rPr>
          <w:rFonts w:eastAsia="Times New Roman" w:cs="Times New Roman" w:ascii="Times New Roman" w:hAnsi="Times New Roman"/>
          <w:b w:val="false"/>
          <w:bCs w:val="false"/>
          <w:sz w:val="27"/>
          <w:szCs w:val="27"/>
        </w:rPr>
        <w:t xml:space="preserve">        </w:t>
      </w:r>
      <w:r>
        <w:rPr>
          <w:rFonts w:eastAsia="Times New Roman" w:cs="Times New Roman" w:ascii="Times New Roman" w:hAnsi="Times New Roman"/>
          <w:b w:val="false"/>
          <w:bCs w:val="false"/>
          <w:sz w:val="27"/>
          <w:szCs w:val="27"/>
        </w:rPr>
        <w:t xml:space="preserve">В рамках декларационной компании 2020 года Управлением была организована работа по представлению работниками Управления, замещающими должности федеральной государственной гражданской службы, включенные в перечень должностей федеральной государственной гражданской службы, при замещении которых федеральные государственные гражданские служащие Федеральной службы судебных приставов обязаны представлять сведения о своих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утвержденный приказом ФССП России от </w:t>
      </w:r>
      <w:r>
        <w:rPr>
          <w:rFonts w:eastAsia="Times New Roman" w:cs="Times New Roman" w:ascii="Times New Roman" w:hAnsi="Times New Roman"/>
          <w:b w:val="false"/>
          <w:bCs w:val="false"/>
          <w:color w:val="000000"/>
          <w:sz w:val="27"/>
          <w:szCs w:val="27"/>
        </w:rPr>
        <w:t>26.01.2018 № 38.</w:t>
      </w:r>
      <w:r/>
    </w:p>
    <w:p>
      <w:pPr>
        <w:pStyle w:val="Normal"/>
        <w:suppressAutoHyphens w:val="true"/>
        <w:spacing w:lineRule="auto" w:line="240"/>
        <w:jc w:val="both"/>
      </w:pPr>
      <w:r>
        <w:rPr>
          <w:rFonts w:eastAsia="Times New Roman" w:cs="Times New Roman" w:ascii="Times New Roman" w:hAnsi="Times New Roman"/>
          <w:b w:val="false"/>
          <w:bCs w:val="false"/>
          <w:color w:val="000000"/>
          <w:sz w:val="27"/>
          <w:szCs w:val="27"/>
        </w:rPr>
        <w:t xml:space="preserve">    </w:t>
      </w:r>
      <w:r>
        <w:rPr>
          <w:rFonts w:eastAsia="Times New Roman" w:cs="Times New Roman" w:ascii="Times New Roman" w:hAnsi="Times New Roman"/>
          <w:b w:val="false"/>
          <w:bCs w:val="false"/>
          <w:color w:val="000000"/>
          <w:sz w:val="27"/>
          <w:szCs w:val="27"/>
        </w:rPr>
        <w:t>Представили справки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684 государственных гражданских служащих Управления. Также в ходе работы было принята  991 справка о доходах супруги (супруга) и несовершеннолетних детей гражданских служащих.</w:t>
      </w:r>
      <w:r>
        <w:rPr>
          <w:rFonts w:eastAsia="Times New Roman" w:cs="Times New Roman" w:ascii="Times New Roman" w:hAnsi="Times New Roman"/>
          <w:b w:val="false"/>
          <w:bCs w:val="false"/>
          <w:sz w:val="27"/>
          <w:szCs w:val="27"/>
        </w:rPr>
        <w:t xml:space="preserve">  </w:t>
      </w:r>
      <w:r>
        <w:rPr>
          <w:rFonts w:eastAsia="Times New Roman" w:cs="Times New Roman" w:ascii="Times New Roman" w:hAnsi="Times New Roman"/>
          <w:b w:val="false"/>
          <w:bCs w:val="false"/>
          <w:color w:val="000000"/>
          <w:sz w:val="27"/>
          <w:szCs w:val="27"/>
        </w:rPr>
        <w:t xml:space="preserve"> </w:t>
      </w:r>
      <w:r/>
    </w:p>
    <w:p>
      <w:pPr>
        <w:pStyle w:val="Normal"/>
        <w:suppressAutoHyphens w:val="true"/>
        <w:spacing w:lineRule="auto" w:line="240"/>
        <w:jc w:val="both"/>
      </w:pPr>
      <w:r>
        <w:rPr>
          <w:rFonts w:eastAsia="Times New Roman" w:cs="Times New Roman" w:ascii="Times New Roman" w:hAnsi="Times New Roman"/>
          <w:b w:val="false"/>
          <w:bCs w:val="false"/>
          <w:sz w:val="27"/>
          <w:szCs w:val="27"/>
        </w:rPr>
        <w:t xml:space="preserve">    </w:t>
      </w:r>
      <w:r>
        <w:rPr>
          <w:rFonts w:cs="Times New Roman" w:ascii="Times New Roman" w:hAnsi="Times New Roman"/>
          <w:b w:val="false"/>
          <w:bCs w:val="false"/>
          <w:sz w:val="27"/>
          <w:szCs w:val="27"/>
        </w:rPr>
        <w:t>В информационно-телекоммуникационной сети «Интернет»» Управлением размещены на официальном Интернет-сайте ФССП России сведения о доходах, расходах, об имуществе и обязательствах имущественного характера федеральных государственных гражданских служащих Управления, а также сведений о доходах, расходах, об имуществе и обязательствах имущественного характера своих супруги (супруга) и несовершеннолетних детей за 2019 год в соответствии с Перечнем должностей, утвержденных приказом ФССП России от 24.04.2015 № 250.</w:t>
      </w:r>
      <w:r/>
    </w:p>
    <w:p>
      <w:pPr>
        <w:pStyle w:val="1"/>
        <w:shd w:val="clear" w:color="" w:themeColor="" w:themeTint="" w:themeShade="" w:fill="FFFFFF" w:themeFill="" w:themeFillTint="" w:themeFillShade=""/>
        <w:suppressAutoHyphens w:val="true"/>
        <w:spacing w:lineRule="auto" w:line="240" w:before="0" w:after="0"/>
        <w:jc w:val="both"/>
      </w:pPr>
      <w:r>
        <w:rPr>
          <w:rFonts w:eastAsia="Times New Roman" w:cs="Times New Roman"/>
          <w:b w:val="false"/>
          <w:bCs w:val="false"/>
          <w:color w:val="000000"/>
          <w:sz w:val="27"/>
          <w:szCs w:val="27"/>
        </w:rPr>
        <w:t xml:space="preserve">   </w:t>
      </w:r>
      <w:r>
        <w:rPr>
          <w:rFonts w:eastAsia="Times New Roman" w:cs="Times New Roman"/>
          <w:b w:val="false"/>
          <w:bCs w:val="false"/>
          <w:sz w:val="27"/>
          <w:szCs w:val="27"/>
        </w:rPr>
        <w:t xml:space="preserve">    </w:t>
      </w:r>
      <w:r>
        <w:rPr>
          <w:rFonts w:cs="Times New Roman"/>
          <w:b w:val="false"/>
          <w:bCs w:val="false"/>
          <w:sz w:val="27"/>
          <w:szCs w:val="27"/>
        </w:rPr>
        <w:t>В первом полугодии 2020 года в связи с утратой доверия гражданские служащие Управления не увольнялись в связи с отсутствием оснований.</w:t>
      </w:r>
      <w:r>
        <w:rPr>
          <w:rFonts w:eastAsia="Times New Roman" w:cs="Times New Roman"/>
          <w:b w:val="false"/>
          <w:bCs w:val="false"/>
          <w:sz w:val="27"/>
          <w:szCs w:val="27"/>
          <w:lang w:val="ru-RU"/>
        </w:rPr>
        <w:t xml:space="preserve"> </w:t>
      </w:r>
      <w:r/>
    </w:p>
    <w:p>
      <w:pPr>
        <w:pStyle w:val="Style19"/>
        <w:suppressAutoHyphens w:val="true"/>
        <w:spacing w:lineRule="auto" w:line="240" w:before="0" w:after="0"/>
        <w:jc w:val="both"/>
      </w:pPr>
      <w:r>
        <w:rPr>
          <w:rFonts w:eastAsia="Times New Roman" w:cs="Times New Roman"/>
          <w:b w:val="false"/>
          <w:bCs w:val="false"/>
          <w:sz w:val="27"/>
          <w:szCs w:val="27"/>
          <w:lang w:val="ru-RU"/>
        </w:rPr>
        <w:t xml:space="preserve">     </w:t>
      </w:r>
      <w:r>
        <w:rPr>
          <w:rFonts w:eastAsia="Times New Roman" w:cs="Times New Roman"/>
          <w:b w:val="false"/>
          <w:bCs w:val="false"/>
          <w:sz w:val="27"/>
          <w:szCs w:val="27"/>
          <w:lang w:val="ru-RU"/>
        </w:rPr>
        <w:t>В У</w:t>
      </w:r>
      <w:r>
        <w:rPr>
          <w:rFonts w:cs="Times New Roman"/>
          <w:b w:val="false"/>
          <w:bCs w:val="false"/>
          <w:sz w:val="27"/>
          <w:szCs w:val="27"/>
          <w:lang w:val="ru-RU"/>
        </w:rPr>
        <w:t>правлении проводится мониторинг базы данных исполнительных производств в целях выявления работников Управления, являющихся должниками по исполнительным производствам, а также выявления родственных и свойственных связей государственных гражданских служащих, имеющих полномочия, позволяющие влиять на ход исполнительного производства, с одной из сторон исполнительного производства и принятия мер по предотвращению и урегулированию конфликта интересов.</w:t>
        <w:tab/>
        <w:tab/>
        <w:tab/>
        <w:tab/>
        <w:tab/>
        <w:tab/>
        <w:tab/>
        <w:tab/>
        <w:tab/>
      </w:r>
      <w:r/>
    </w:p>
    <w:p>
      <w:pPr>
        <w:pStyle w:val="Style19"/>
        <w:suppressAutoHyphens w:val="true"/>
        <w:spacing w:lineRule="auto" w:line="240" w:before="0" w:after="0"/>
        <w:jc w:val="both"/>
      </w:pPr>
      <w:r>
        <w:rPr>
          <w:rFonts w:eastAsia="Times New Roman" w:cs="Times New Roman"/>
          <w:b w:val="false"/>
          <w:bCs w:val="false"/>
          <w:color w:val="000000"/>
          <w:sz w:val="27"/>
          <w:szCs w:val="27"/>
          <w:lang w:val="ru-RU"/>
        </w:rPr>
        <w:t xml:space="preserve">      </w:t>
      </w:r>
      <w:r>
        <w:rPr>
          <w:rFonts w:cs="Times New Roman"/>
          <w:b w:val="false"/>
          <w:bCs w:val="false"/>
          <w:color w:val="000000"/>
          <w:sz w:val="27"/>
          <w:szCs w:val="27"/>
          <w:lang w:val="ru-RU"/>
        </w:rPr>
        <w:t xml:space="preserve">В первом полугодии 2020 года  в отношении 30 сотрудников Управления было возбуждено 48 исполнительных производств на сумму 1567,05  тыс. руб., из них окончено фактическим исполнением 38 производств на 313 тыс. руб., исполнительные производства, оконченные по иным основаниям отсутствуют. </w:t>
      </w:r>
      <w:r/>
    </w:p>
    <w:p>
      <w:pPr>
        <w:pStyle w:val="Style19"/>
        <w:suppressAutoHyphens w:val="true"/>
        <w:spacing w:lineRule="auto" w:line="240" w:before="0" w:after="0"/>
        <w:jc w:val="both"/>
      </w:pPr>
      <w:r>
        <w:rPr>
          <w:rStyle w:val="Style17"/>
          <w:rFonts w:eastAsia="Times New Roman" w:cs="Times New Roman"/>
          <w:b w:val="false"/>
          <w:bCs w:val="false"/>
          <w:i w:val="false"/>
          <w:iCs w:val="false"/>
          <w:strike w:val="false"/>
          <w:dstrike w:val="false"/>
          <w:outline w:val="false"/>
          <w:shadow w:val="false"/>
          <w:color w:val="000000"/>
          <w:sz w:val="27"/>
          <w:szCs w:val="27"/>
          <w:u w:val="none"/>
          <w:shd w:fill="FFFFFF" w:val="clear"/>
          <w:em w:val="none"/>
          <w:lang w:val="ru-RU" w:eastAsia="zxx" w:bidi="zxx"/>
        </w:rPr>
        <w:t xml:space="preserve">   </w:t>
      </w:r>
      <w:r>
        <w:rPr>
          <w:rStyle w:val="Style17"/>
          <w:rFonts w:eastAsia="Times New Roman CYR" w:cs="Times New Roman"/>
          <w:b w:val="false"/>
          <w:bCs w:val="false"/>
          <w:i w:val="false"/>
          <w:iCs w:val="false"/>
          <w:strike w:val="false"/>
          <w:dstrike w:val="false"/>
          <w:outline w:val="false"/>
          <w:shadow w:val="false"/>
          <w:color w:val="000000"/>
          <w:sz w:val="27"/>
          <w:szCs w:val="27"/>
          <w:u w:val="none"/>
          <w:shd w:fill="FFFFFF" w:val="clear"/>
          <w:em w:val="none"/>
          <w:lang w:val="ru-RU" w:eastAsia="zxx" w:bidi="zxx"/>
        </w:rPr>
        <w:t xml:space="preserve">На исполнении остается 10 исполнительных производств в отношении 8 сотрудников на общую сумму 1 254,03 тыс. рублей.    </w:t>
      </w:r>
      <w:r/>
    </w:p>
    <w:p>
      <w:pPr>
        <w:pStyle w:val="Normal"/>
        <w:suppressAutoHyphens w:val="true"/>
        <w:spacing w:lineRule="auto" w:line="240" w:before="0" w:after="0"/>
        <w:jc w:val="both"/>
      </w:pPr>
      <w:r>
        <w:rPr>
          <w:rStyle w:val="Style17"/>
          <w:rFonts w:eastAsia="Times New Roman" w:cs="Times New Roman" w:ascii="Times New Roman" w:hAnsi="Times New Roman"/>
          <w:b w:val="false"/>
          <w:bCs w:val="false"/>
          <w:i w:val="false"/>
          <w:iCs w:val="false"/>
          <w:strike w:val="false"/>
          <w:dstrike w:val="false"/>
          <w:outline w:val="false"/>
          <w:shadow w:val="false"/>
          <w:color w:val="000000"/>
          <w:sz w:val="27"/>
          <w:szCs w:val="27"/>
          <w:u w:val="none"/>
          <w:shd w:fill="FFFFFF" w:val="clear"/>
          <w:em w:val="none"/>
          <w:lang w:val="ru-RU" w:eastAsia="zxx" w:bidi="zxx"/>
        </w:rPr>
        <w:t xml:space="preserve">     </w:t>
      </w:r>
      <w:r>
        <w:rPr>
          <w:rFonts w:eastAsia="Times New Roman" w:cs="Times New Roman" w:ascii="Times New Roman" w:hAnsi="Times New Roman"/>
          <w:b w:val="false"/>
          <w:bCs w:val="false"/>
          <w:sz w:val="27"/>
          <w:szCs w:val="27"/>
        </w:rPr>
        <w:t>Исполнительные производства в отношении сотрудников Управления, оконченные н</w:t>
      </w:r>
      <w:r>
        <w:rPr>
          <w:rFonts w:cs="Times New Roman" w:ascii="Times New Roman" w:hAnsi="Times New Roman"/>
          <w:b w:val="false"/>
          <w:bCs w:val="false"/>
          <w:sz w:val="27"/>
          <w:szCs w:val="27"/>
        </w:rPr>
        <w:t xml:space="preserve">а основании п. п. 2, 3, 4 ч. 1 ст. 46 Федерального закона от 02.10.2007 №229-ФЗ «Об исполнительном производстве», отсутствуют. </w:t>
      </w:r>
      <w:r>
        <w:rPr>
          <w:rFonts w:eastAsia="Times New Roman" w:cs="Times New Roman" w:ascii="Times New Roman" w:hAnsi="Times New Roman"/>
          <w:b w:val="false"/>
          <w:bCs w:val="false"/>
          <w:sz w:val="27"/>
          <w:szCs w:val="27"/>
          <w:lang w:val="ru-RU"/>
        </w:rPr>
        <w:t xml:space="preserve">   </w:t>
      </w:r>
      <w:r/>
    </w:p>
    <w:p>
      <w:pPr>
        <w:pStyle w:val="Normal"/>
        <w:suppressAutoHyphens w:val="true"/>
        <w:spacing w:lineRule="auto" w:line="240"/>
        <w:jc w:val="both"/>
      </w:pPr>
      <w:r>
        <w:rPr>
          <w:rStyle w:val="Style15"/>
          <w:rFonts w:eastAsia="Times New Roman" w:cs="Times New Roman" w:ascii="Times New Roman" w:hAnsi="Times New Roman"/>
          <w:color w:val="000000"/>
          <w:spacing w:val="15"/>
          <w:sz w:val="27"/>
          <w:szCs w:val="27"/>
          <w:lang w:val="ru-RU"/>
        </w:rPr>
        <w:t xml:space="preserve">  </w:t>
      </w:r>
      <w:r>
        <w:rPr>
          <w:rFonts w:eastAsia="Times New Roman" w:cs="Times New Roman" w:ascii="Times New Roman" w:hAnsi="Times New Roman"/>
          <w:b w:val="false"/>
          <w:bCs w:val="false"/>
          <w:sz w:val="27"/>
          <w:szCs w:val="27"/>
          <w:lang w:val="ru-RU"/>
        </w:rPr>
        <w:t xml:space="preserve">  </w:t>
      </w:r>
      <w:r>
        <w:rPr>
          <w:rFonts w:eastAsia="Times New Roman" w:cs="Times New Roman" w:ascii="Times New Roman" w:hAnsi="Times New Roman"/>
          <w:b w:val="false"/>
          <w:bCs w:val="false"/>
          <w:sz w:val="27"/>
          <w:szCs w:val="27"/>
          <w:lang w:val="ru-RU"/>
        </w:rPr>
        <w:t>У</w:t>
      </w:r>
      <w:r>
        <w:rPr>
          <w:rFonts w:cs="Times New Roman" w:ascii="Times New Roman" w:hAnsi="Times New Roman"/>
          <w:b w:val="false"/>
          <w:bCs w:val="false"/>
          <w:sz w:val="27"/>
          <w:szCs w:val="27"/>
          <w:lang w:val="ru-RU"/>
        </w:rPr>
        <w:t xml:space="preserve">ведомления от государственных гражданских служащих Управления о возможном возникновении личной заинтересованности при исполнении должностных обязанностей, которая приводит или может привести к конфликту интересов в первом полугодии 2020 года не поступали. </w:t>
      </w:r>
      <w:r/>
    </w:p>
    <w:p>
      <w:pPr>
        <w:pStyle w:val="2"/>
        <w:suppressAutoHyphens w:val="true"/>
        <w:spacing w:lineRule="auto" w:line="240"/>
        <w:jc w:val="both"/>
      </w:pPr>
      <w:r>
        <w:rPr>
          <w:rFonts w:eastAsia="Times New Roman" w:cs="Times New Roman"/>
          <w:b w:val="false"/>
          <w:bCs w:val="false"/>
          <w:sz w:val="27"/>
          <w:szCs w:val="27"/>
          <w:lang w:val="ru-RU"/>
        </w:rPr>
        <w:t xml:space="preserve">     </w:t>
      </w:r>
      <w:r>
        <w:rPr>
          <w:rFonts w:cs="Times New Roman"/>
          <w:b w:val="false"/>
          <w:bCs w:val="false"/>
          <w:sz w:val="27"/>
          <w:szCs w:val="27"/>
          <w:lang w:val="ru-RU"/>
        </w:rPr>
        <w:t xml:space="preserve">В Управлении образована и работает Комиссия по соблюдению требований к                служебном у поведению федеральных государственных гражданских служащих и                     урегулированию конфликта интересов (далее - Комиссия), утвержден состав членов                  комиссии. </w:t>
      </w:r>
      <w:r/>
    </w:p>
    <w:p>
      <w:pPr>
        <w:pStyle w:val="2"/>
        <w:suppressAutoHyphens w:val="true"/>
        <w:spacing w:lineRule="auto" w:line="240"/>
        <w:jc w:val="both"/>
      </w:pPr>
      <w:r>
        <w:rPr>
          <w:rFonts w:eastAsia="Times New Roman" w:cs="Times New Roman"/>
          <w:b w:val="false"/>
          <w:bCs w:val="false"/>
          <w:sz w:val="27"/>
          <w:szCs w:val="27"/>
          <w:lang w:val="ru-RU"/>
        </w:rPr>
        <w:t xml:space="preserve">      </w:t>
      </w:r>
      <w:r>
        <w:rPr>
          <w:rFonts w:cs="Times New Roman"/>
          <w:b w:val="false"/>
          <w:bCs w:val="false"/>
          <w:sz w:val="27"/>
          <w:szCs w:val="27"/>
          <w:lang w:val="ru-RU"/>
        </w:rPr>
        <w:t xml:space="preserve">Сообщения о формировании и работе Комиссии размещены на Интернет- сайте в разделе «Противодействие коррупции». </w:t>
      </w:r>
      <w:r/>
    </w:p>
    <w:p>
      <w:pPr>
        <w:pStyle w:val="2"/>
        <w:suppressAutoHyphens w:val="true"/>
        <w:spacing w:lineRule="auto" w:line="240"/>
        <w:jc w:val="both"/>
      </w:pPr>
      <w:r>
        <w:rPr>
          <w:rFonts w:eastAsia="Times New Roman" w:cs="Times New Roman"/>
          <w:b w:val="false"/>
          <w:bCs w:val="false"/>
          <w:sz w:val="27"/>
          <w:szCs w:val="27"/>
          <w:lang w:val="ru-RU"/>
        </w:rPr>
        <w:t xml:space="preserve">     </w:t>
      </w:r>
      <w:r>
        <w:rPr>
          <w:rFonts w:cs="Times New Roman"/>
          <w:b w:val="false"/>
          <w:bCs w:val="false"/>
          <w:sz w:val="27"/>
          <w:szCs w:val="27"/>
        </w:rPr>
        <w:t xml:space="preserve">В  отчетном пероде  </w:t>
      </w:r>
      <w:r>
        <w:rPr>
          <w:rStyle w:val="Style15"/>
          <w:rFonts w:eastAsia="Times New Roman" w:cs="Times New Roman"/>
          <w:b w:val="false"/>
          <w:bCs w:val="false"/>
          <w:color w:val="000000"/>
          <w:sz w:val="27"/>
          <w:szCs w:val="27"/>
          <w:lang w:val="ru-RU"/>
        </w:rPr>
        <w:t>проведено одно заседание Комиссии, на котором рассмотрено обращение гражданина, ранее замещавшего должность государственной гражданской службы в Управлении, о даче согласия на замещение должности в коммерческой организации. По результатам рассмотрения обращения бывшему федеральному государственному гражданскому служащему дано согласие на замещением им должности в коммерческой организации.</w:t>
      </w:r>
      <w:r>
        <w:rPr>
          <w:rFonts w:cs="Times New Roman"/>
          <w:b w:val="false"/>
          <w:bCs w:val="false"/>
          <w:sz w:val="27"/>
          <w:szCs w:val="27"/>
        </w:rPr>
        <w:t xml:space="preserve"> </w:t>
      </w:r>
      <w:r/>
    </w:p>
    <w:p>
      <w:pPr>
        <w:pStyle w:val="2"/>
        <w:suppressAutoHyphens w:val="true"/>
        <w:spacing w:lineRule="auto" w:line="240"/>
        <w:jc w:val="both"/>
      </w:pPr>
      <w:r>
        <w:rPr>
          <w:rFonts w:eastAsia="Times New Roman" w:cs="Times New Roman"/>
          <w:b w:val="false"/>
          <w:bCs w:val="false"/>
          <w:sz w:val="27"/>
          <w:szCs w:val="27"/>
          <w:lang w:val="ru-RU"/>
        </w:rPr>
        <w:t xml:space="preserve">   </w:t>
      </w:r>
      <w:r>
        <w:rPr>
          <w:rFonts w:cs="Times New Roman"/>
          <w:b w:val="false"/>
          <w:bCs w:val="false"/>
          <w:sz w:val="27"/>
          <w:szCs w:val="27"/>
          <w:lang w:val="ru-RU"/>
        </w:rPr>
        <w:t>В первом полугодии 2020 году рассмотрено 8 обращений о возможных коррупционных правонарушениях, допущенных государственными служащими Управления, одно из них поступило на телефон доверия. В ходе проверок нарушений в действиях должностных лиц Управления не установлено.</w:t>
      </w:r>
      <w:r/>
    </w:p>
    <w:p>
      <w:pPr>
        <w:pStyle w:val="ConsPlusNormal"/>
        <w:suppressAutoHyphens w:val="true"/>
        <w:spacing w:lineRule="auto" w:line="240"/>
        <w:jc w:val="both"/>
      </w:pPr>
      <w:r>
        <w:rPr>
          <w:rFonts w:eastAsia="Times New Roman" w:cs="Times New Roman" w:ascii="Times New Roman" w:hAnsi="Times New Roman"/>
          <w:b w:val="false"/>
          <w:bCs w:val="false"/>
          <w:sz w:val="27"/>
          <w:szCs w:val="27"/>
          <w:lang w:val="ru-RU"/>
        </w:rPr>
        <w:t xml:space="preserve">     </w:t>
      </w:r>
      <w:r>
        <w:rPr>
          <w:rFonts w:cs="Times New Roman" w:ascii="Times New Roman" w:hAnsi="Times New Roman"/>
          <w:b w:val="false"/>
          <w:bCs w:val="false"/>
          <w:sz w:val="27"/>
          <w:szCs w:val="27"/>
          <w:lang w:val="ru-RU"/>
        </w:rPr>
        <w:t xml:space="preserve">21.06.2020  </w:t>
      </w:r>
      <w:r>
        <w:rPr>
          <w:rFonts w:cs="Times New Roman" w:ascii="Times New Roman" w:hAnsi="Times New Roman"/>
          <w:b w:val="false"/>
          <w:bCs w:val="false"/>
          <w:sz w:val="27"/>
          <w:szCs w:val="27"/>
        </w:rPr>
        <w:t>в Управлении организована и проведена «горячая линия» по вопросам противодействия коррупции. В ходе проверок доводов, изложенных</w:t>
        <w:br/>
        <w:t>в поступивших по телефону обращениях, в действиях должностных лиц Управления признаков коррупционных правонарушений выявлено не было.</w:t>
      </w:r>
      <w:r/>
    </w:p>
    <w:p>
      <w:pPr>
        <w:pStyle w:val="Normal"/>
        <w:suppressAutoHyphens w:val="true"/>
        <w:spacing w:lineRule="auto" w:line="240"/>
        <w:jc w:val="both"/>
      </w:pPr>
      <w:r>
        <w:rPr>
          <w:rFonts w:eastAsia="Times New Roman" w:cs="Times New Roman" w:ascii="Times New Roman" w:hAnsi="Times New Roman"/>
          <w:b w:val="false"/>
          <w:bCs w:val="false"/>
          <w:sz w:val="27"/>
          <w:szCs w:val="27"/>
        </w:rPr>
        <w:t xml:space="preserve">       </w:t>
      </w:r>
      <w:r>
        <w:rPr>
          <w:rFonts w:cs="Times New Roman" w:ascii="Times New Roman" w:hAnsi="Times New Roman"/>
          <w:b w:val="false"/>
          <w:bCs w:val="false"/>
          <w:sz w:val="27"/>
          <w:szCs w:val="27"/>
        </w:rPr>
        <w:t>В период с января по май 2020 года в Управлении организовано и проведено  70 служебных проверок в отношении государственных гражданских служащих, по результатам которых к 70 служащим применены дисциплинарные взыскания. Результаты служебных проверок не обжаловались.</w:t>
      </w:r>
      <w:r>
        <w:rPr>
          <w:rFonts w:eastAsia="Times New Roman" w:cs="Times New Roman" w:ascii="Times New Roman" w:hAnsi="Times New Roman"/>
          <w:b w:val="false"/>
          <w:bCs w:val="false"/>
          <w:sz w:val="27"/>
          <w:szCs w:val="27"/>
        </w:rPr>
        <w:t xml:space="preserve">  </w:t>
      </w:r>
      <w:r>
        <w:rPr>
          <w:rFonts w:cs="Times New Roman" w:ascii="Times New Roman" w:hAnsi="Times New Roman"/>
          <w:b w:val="false"/>
          <w:bCs w:val="false"/>
          <w:sz w:val="27"/>
          <w:szCs w:val="27"/>
        </w:rPr>
        <w:t xml:space="preserve">Необоснованного назначения и проведения служебных проверок в отношении государственных гражданских служащих не было. Акты прокурорского реагирования в отношении проведенных служебных проверок не выносились. </w:t>
      </w:r>
      <w:r/>
    </w:p>
    <w:p>
      <w:pPr>
        <w:pStyle w:val="1"/>
        <w:suppressAutoHyphens w:val="true"/>
        <w:spacing w:lineRule="auto" w:line="240" w:before="0" w:after="0"/>
        <w:jc w:val="both"/>
      </w:pPr>
      <w:r>
        <w:rPr>
          <w:rFonts w:cs="Times New Roman"/>
          <w:b w:val="false"/>
          <w:bCs w:val="false"/>
          <w:sz w:val="27"/>
          <w:szCs w:val="27"/>
          <w:lang w:val="ru-RU"/>
        </w:rPr>
        <w:t xml:space="preserve"> </w:t>
      </w:r>
      <w:r>
        <w:rPr>
          <w:rFonts w:cs="Times New Roman"/>
          <w:b w:val="false"/>
          <w:bCs w:val="false"/>
          <w:sz w:val="27"/>
          <w:szCs w:val="27"/>
          <w:lang w:val="ru-RU"/>
        </w:rPr>
        <w:t xml:space="preserve">Управлением организована работа по соблюдению федеральными государственными гражданскими служащими ФССП России требований, установленных п. 6 ч. 1 ст. 17 Федерального закона от 27.07.2004 № 79-ФЗ «О государственной гражданской службе Российской Федерации», по уведомлению о получении подарков, полученных в связи с протокольными мероприятиями, служебными командировками и другими официальными мероприятиями. Порядок уведомления постоянно доводился до сотрудников Управления на занятиях служебной подготовки. </w:t>
      </w:r>
      <w:r/>
    </w:p>
    <w:p>
      <w:pPr>
        <w:pStyle w:val="1"/>
        <w:suppressAutoHyphens w:val="true"/>
        <w:spacing w:lineRule="auto" w:line="240" w:before="0" w:after="0"/>
        <w:jc w:val="both"/>
      </w:pPr>
      <w:r>
        <w:rPr>
          <w:rFonts w:cs="Times New Roman"/>
          <w:b w:val="false"/>
          <w:bCs w:val="false"/>
          <w:sz w:val="27"/>
          <w:szCs w:val="27"/>
          <w:lang w:val="ru-RU"/>
        </w:rPr>
        <w:t xml:space="preserve">       </w:t>
      </w:r>
      <w:r>
        <w:rPr>
          <w:rFonts w:cs="Times New Roman"/>
          <w:b w:val="false"/>
          <w:bCs w:val="false"/>
          <w:sz w:val="27"/>
          <w:szCs w:val="27"/>
          <w:lang w:val="ru-RU"/>
        </w:rPr>
        <w:t>Нарушений требований, установленных п. 6 ч. 1 ст. 17 Федерального закона от 27.07.2004 № 79 по уведомлению о получении подарков, полученных в связи с протокольными мероприятиями, служебными командировками и другими официальными мероприятиями, в отчетном периоде не выявлено.</w:t>
      </w:r>
      <w:r/>
    </w:p>
    <w:p>
      <w:pPr>
        <w:pStyle w:val="Normal"/>
        <w:suppressAutoHyphens w:val="true"/>
        <w:spacing w:lineRule="auto" w:line="240"/>
        <w:jc w:val="both"/>
      </w:pPr>
      <w:r>
        <w:rPr>
          <w:rFonts w:eastAsia="Times New Roman" w:cs="Times New Roman" w:ascii="Times New Roman" w:hAnsi="Times New Roman"/>
          <w:b w:val="false"/>
          <w:bCs w:val="false"/>
          <w:sz w:val="27"/>
          <w:szCs w:val="27"/>
          <w:lang w:val="ru-RU"/>
        </w:rPr>
        <w:t xml:space="preserve">    </w:t>
      </w:r>
      <w:r>
        <w:rPr>
          <w:rFonts w:cs="Times New Roman" w:ascii="Times New Roman" w:hAnsi="Times New Roman"/>
          <w:b w:val="false"/>
          <w:bCs w:val="false"/>
          <w:sz w:val="27"/>
          <w:szCs w:val="27"/>
          <w:lang w:val="ru-RU"/>
        </w:rPr>
        <w:t>В соответствии с распоряжением ФССП России от 22.04.2015 №30-р «Об организации работы по предварительному уведомлению федеральными государственными гражданскими служащими Федеральной службы судебных приставов представителя нанимателя о намерении выполнять иную оплачиваемую работу» и методическими рекомендациями о порядке предварительного уведомления представителя нанимателя федеральными государственными гражданскими служащими ФССП о выполнении ими иной оплачиваемой работы, утвержденными Директором ФССП России 24.04.2015 №0012/7, Управлением проводится работа по осуществлению государственными гражданскими служащими своего права выполнять иную оплачиваемую работу с предварительного уведомления представителя нанимателя, в случае если это не повлечет за собой конфликт интересов (часть 2 статьи 14 Закона №79-ФЗ).</w:t>
      </w:r>
      <w:r/>
    </w:p>
    <w:p>
      <w:pPr>
        <w:pStyle w:val="Normal"/>
        <w:suppressAutoHyphens w:val="true"/>
        <w:spacing w:lineRule="auto" w:line="240"/>
        <w:jc w:val="both"/>
      </w:pPr>
      <w:r>
        <w:rPr>
          <w:rFonts w:eastAsia="Times New Roman" w:cs="Times New Roman" w:ascii="Times New Roman" w:hAnsi="Times New Roman"/>
          <w:b w:val="false"/>
          <w:bCs w:val="false"/>
          <w:sz w:val="27"/>
          <w:szCs w:val="27"/>
          <w:lang w:val="ru-RU"/>
        </w:rPr>
        <w:t xml:space="preserve">     </w:t>
      </w:r>
      <w:r>
        <w:rPr>
          <w:rFonts w:cs="Times New Roman" w:ascii="Times New Roman" w:hAnsi="Times New Roman"/>
          <w:b w:val="false"/>
          <w:bCs w:val="false"/>
          <w:sz w:val="27"/>
          <w:szCs w:val="27"/>
          <w:lang w:val="ru-RU"/>
        </w:rPr>
        <w:t xml:space="preserve">В период с января по май 2020 года к руководителю Управления обратились с уведомлением о намерении выполнять иную оплачиваемую работу 7 государственных гражданских служащих. В результате рассмотрения, поступивших в первом полугодии 2020 году уведомлений о намерении выполнять иную оплачиваемую работу, признаков возникновения личной заинтересованности, которая приводит или может привести к конфликту интересов, не выявлено. </w:t>
      </w:r>
      <w:r/>
    </w:p>
    <w:p>
      <w:pPr>
        <w:pStyle w:val="Normal"/>
        <w:suppressAutoHyphens w:val="true"/>
        <w:spacing w:lineRule="auto" w:line="240" w:before="0" w:after="0"/>
        <w:jc w:val="both"/>
      </w:pPr>
      <w:r>
        <w:rPr>
          <w:rFonts w:eastAsia="Times New Roman" w:cs="Times New Roman" w:ascii="Times New Roman" w:hAnsi="Times New Roman"/>
          <w:b w:val="false"/>
          <w:bCs w:val="false"/>
          <w:sz w:val="27"/>
          <w:szCs w:val="27"/>
          <w:lang w:val="ru-RU"/>
        </w:rPr>
        <w:t xml:space="preserve">    </w:t>
      </w:r>
      <w:r>
        <w:rPr>
          <w:rFonts w:cs="Times New Roman" w:ascii="Times New Roman" w:hAnsi="Times New Roman"/>
          <w:b w:val="false"/>
          <w:bCs w:val="false"/>
          <w:sz w:val="27"/>
          <w:szCs w:val="27"/>
          <w:lang w:val="ru-RU"/>
        </w:rPr>
        <w:t>Управлением организован мониторинг соблюдения лицами, замещавшими должности государственной гражданской службы в ФССП России, ограничений, предусмотренных статьей 12 Федерального закона от 25.12.2008 № 273-ФЗ «О противодействии коррупции», при заключении ими после увольнения с государственной гражданской службы трудовых и гражданско-правовых договоров.</w:t>
      </w:r>
      <w:r/>
    </w:p>
    <w:p>
      <w:pPr>
        <w:pStyle w:val="Style19"/>
        <w:suppressAutoHyphens w:val="true"/>
        <w:spacing w:lineRule="auto" w:line="240" w:before="0" w:after="0"/>
        <w:jc w:val="both"/>
      </w:pPr>
      <w:r>
        <w:rPr>
          <w:rFonts w:eastAsia="Times New Roman" w:cs="Times New Roman"/>
          <w:b w:val="false"/>
          <w:bCs w:val="false"/>
          <w:sz w:val="27"/>
          <w:szCs w:val="27"/>
          <w:lang w:val="ru-RU"/>
        </w:rPr>
        <w:t xml:space="preserve">      </w:t>
      </w:r>
      <w:r>
        <w:rPr>
          <w:rFonts w:cs="Times New Roman"/>
          <w:b w:val="false"/>
          <w:bCs w:val="false"/>
          <w:sz w:val="27"/>
          <w:szCs w:val="27"/>
          <w:lang w:val="ru-RU"/>
        </w:rPr>
        <w:t>В первом полугодии 2020 года в соответствии с Постановлением Правительства Российской Федерации от 21.01.2015 № 29 «Об утверждении правил сообщения работодателем о заключении трудового или гражданско-правового договора на выполнение работ (оказание услуг)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Управление поступило 43 сообщения работодателей при заключении трудового договора или гражданско-правового договора в течение двух лет после увольнения гражданина  с государственной службы представителю нанимателя (работодателю) государственного служащего по последнему месту его службы в УФССП России по Тверской области о заключении такого договора в письменной форме. По всем 43 сообщениям осуществлялась проверка и оформлялись заключения о соблюдении гражданскими служащими, замещавшими должности государственной гражданской службы Управления, требований статьи 12 Федерального закона от 25.12.2008  № 273.</w:t>
      </w:r>
      <w:r/>
    </w:p>
    <w:p>
      <w:pPr>
        <w:pStyle w:val="Style19"/>
        <w:spacing w:lineRule="auto" w:line="240" w:before="0" w:after="0"/>
        <w:jc w:val="both"/>
      </w:pPr>
      <w:r>
        <w:rPr>
          <w:rFonts w:eastAsia="Times New Roman" w:cs="Times New Roman"/>
          <w:b w:val="false"/>
          <w:bCs/>
          <w:color w:val="000000"/>
          <w:sz w:val="27"/>
          <w:szCs w:val="27"/>
          <w:lang w:val="ru-RU" w:eastAsia="ru-RU" w:bidi="ar-SA"/>
        </w:rPr>
        <w:t xml:space="preserve">   </w:t>
      </w:r>
      <w:r/>
    </w:p>
    <w:p>
      <w:pPr>
        <w:pStyle w:val="Style19"/>
        <w:spacing w:lineRule="auto" w:line="240" w:before="0" w:after="0"/>
        <w:ind w:firstLine="708"/>
        <w:jc w:val="both"/>
        <w:rPr>
          <w:sz w:val="27"/>
          <w:sz w:val="27"/>
          <w:szCs w:val="27"/>
          <w:rFonts w:ascii="Times New Roman" w:hAnsi="Times New Roman" w:eastAsia="Lucida Sans Unicode" w:cs="Times New Roman"/>
          <w:color w:val="000000"/>
          <w:lang w:val="ru-RU" w:eastAsia="en-US" w:bidi="en-US"/>
        </w:rPr>
      </w:pPr>
      <w:r>
        <w:rPr>
          <w:rFonts w:eastAsia="Lucida Sans Unicode" w:cs="Times New Roman"/>
          <w:color w:val="000000"/>
          <w:sz w:val="27"/>
          <w:szCs w:val="27"/>
          <w:lang w:val="ru-RU" w:eastAsia="en-US" w:bidi="en-US"/>
        </w:rPr>
      </w:r>
      <w:r/>
    </w:p>
    <w:p>
      <w:pPr>
        <w:pStyle w:val="Style19"/>
        <w:spacing w:lineRule="auto" w:line="240" w:before="0" w:after="0"/>
        <w:jc w:val="both"/>
        <w:rPr>
          <w:sz w:val="27"/>
          <w:sz w:val="27"/>
          <w:szCs w:val="27"/>
          <w:rFonts w:ascii="Times New Roman" w:hAnsi="Times New Roman" w:eastAsia="Lucida Sans Unicode" w:cs="Times New Roman"/>
          <w:color w:val="000000"/>
          <w:lang w:val="ru-RU" w:eastAsia="en-US" w:bidi="en-US"/>
        </w:rPr>
      </w:pPr>
      <w:r>
        <w:rPr>
          <w:rFonts w:eastAsia="Lucida Sans Unicode" w:cs="Times New Roman"/>
          <w:color w:val="000000"/>
          <w:sz w:val="27"/>
          <w:szCs w:val="27"/>
          <w:lang w:val="ru-RU" w:eastAsia="en-US" w:bidi="en-US"/>
        </w:rPr>
      </w:r>
      <w:r/>
    </w:p>
    <w:p>
      <w:pPr>
        <w:pStyle w:val="Normal"/>
        <w:spacing w:lineRule="auto" w:line="240"/>
        <w:jc w:val="both"/>
        <w:rPr>
          <w:sz w:val="27"/>
          <w:sz w:val="27"/>
          <w:szCs w:val="27"/>
          <w:rFonts w:ascii="Times New Roman" w:hAnsi="Times New Roman" w:eastAsia="Calibri" w:cs="Times New Roman" w:eastAsiaTheme="minorHAnsi"/>
          <w:color w:val="00000A"/>
          <w:lang w:val="ru-RU" w:eastAsia="en-US" w:bidi="ar-SA"/>
        </w:rPr>
      </w:pPr>
      <w:r>
        <w:rPr>
          <w:rFonts w:eastAsia="Calibri" w:cs="Times New Roman" w:eastAsiaTheme="minorHAnsi" w:ascii="Times New Roman" w:hAnsi="Times New Roman"/>
          <w:color w:val="00000A"/>
          <w:sz w:val="27"/>
          <w:szCs w:val="27"/>
          <w:lang w:val="ru-RU" w:eastAsia="en-US" w:bidi="ar-SA"/>
        </w:rPr>
      </w:r>
      <w:r/>
    </w:p>
    <w:p>
      <w:pPr>
        <w:pStyle w:val="Normal"/>
        <w:spacing w:lineRule="auto" w:line="240"/>
        <w:jc w:val="both"/>
        <w:rPr>
          <w:sz w:val="27"/>
          <w:sz w:val="27"/>
          <w:szCs w:val="27"/>
          <w:rFonts w:ascii="Calibri" w:hAnsi="Calibri" w:eastAsia="Calibri" w:cs="" w:asciiTheme="minorHAnsi" w:cstheme="minorBidi" w:eastAsiaTheme="minorHAnsi" w:hAnsiTheme="minorHAnsi"/>
          <w:color w:val="00000A"/>
          <w:lang w:val="ru-RU" w:eastAsia="en-US" w:bidi="ar-SA"/>
        </w:rPr>
      </w:pPr>
      <w:r>
        <w:rPr>
          <w:sz w:val="27"/>
          <w:szCs w:val="27"/>
        </w:rPr>
      </w:r>
      <w:r/>
    </w:p>
    <w:sectPr>
      <w:type w:val="nextPage"/>
      <w:pgSz w:w="11906" w:h="16838"/>
      <w:pgMar w:left="1134" w:right="567" w:header="0" w:top="510" w:footer="0" w:bottom="709"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roman"/>
    <w:pitch w:val="variable"/>
  </w:font>
</w:fonts>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120"/>
        <w:jc w:val="both"/>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uiPriority="0" w:name="Body Text"/>
    <w:lsdException w:qFormat="1" w:unhideWhenUsed="0" w:semiHidden="0" w:uiPriority="11" w:name="Subtitle"/>
    <w:lsdException w:uiPriority="0" w:name="Hyperlink"/>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rsid w:val="006d1a14"/>
    <w:pPr>
      <w:widowControl/>
      <w:suppressAutoHyphens w:val="true"/>
      <w:bidi w:val="0"/>
      <w:spacing w:lineRule="auto" w:line="120"/>
      <w:jc w:val="left"/>
    </w:pPr>
    <w:rPr>
      <w:rFonts w:ascii="Calibri" w:hAnsi="Calibri" w:eastAsia="Calibri" w:cs="" w:asciiTheme="minorHAnsi" w:cstheme="minorBidi" w:eastAsiaTheme="minorHAnsi" w:hAnsiTheme="minorHAnsi"/>
      <w:color w:val="00000A"/>
      <w:sz w:val="22"/>
      <w:szCs w:val="22"/>
      <w:lang w:val="ru-RU" w:eastAsia="en-US" w:bidi="ar-SA"/>
    </w:rPr>
  </w:style>
  <w:style w:type="character" w:styleId="DefaultParagraphFont" w:default="1">
    <w:name w:val="Default Paragraph Font"/>
    <w:uiPriority w:val="1"/>
    <w:semiHidden/>
    <w:unhideWhenUsed/>
    <w:rPr/>
  </w:style>
  <w:style w:type="character" w:styleId="Style14">
    <w:name w:val="Интернет-ссылка"/>
    <w:basedOn w:val="DefaultParagraphFont"/>
    <w:rsid w:val="006d1a14"/>
    <w:rPr>
      <w:color w:val="0000FF"/>
      <w:u w:val="single"/>
      <w:lang w:val="zxx" w:eastAsia="zxx" w:bidi="zxx"/>
    </w:rPr>
  </w:style>
  <w:style w:type="character" w:styleId="Style15" w:customStyle="1">
    <w:name w:val="Основной текст_"/>
    <w:basedOn w:val="DefaultParagraphFont"/>
    <w:rsid w:val="006d1a14"/>
    <w:rPr/>
  </w:style>
  <w:style w:type="character" w:styleId="Style16" w:customStyle="1">
    <w:name w:val="Основной текст Знак"/>
    <w:basedOn w:val="DefaultParagraphFont"/>
    <w:link w:val="a5"/>
    <w:rsid w:val="006d1a14"/>
    <w:rPr>
      <w:rFonts w:ascii="Times New Roman" w:hAnsi="Times New Roman" w:eastAsia="Lucida Sans Unicode" w:cs="Tahoma"/>
      <w:color w:val="000000"/>
      <w:sz w:val="24"/>
      <w:szCs w:val="24"/>
      <w:lang w:val="en-US" w:bidi="en-US"/>
    </w:rPr>
  </w:style>
  <w:style w:type="character" w:styleId="WW8Num1z2" w:customStyle="1">
    <w:name w:val="WW8Num1z2"/>
    <w:rsid w:val="00f06e14"/>
    <w:rPr/>
  </w:style>
  <w:style w:type="character" w:styleId="Style17">
    <w:name w:val="Основной шрифт абзаца"/>
    <w:rPr/>
  </w:style>
  <w:style w:type="paragraph" w:styleId="Style18">
    <w:name w:val="Заголовок"/>
    <w:basedOn w:val="Normal"/>
    <w:next w:val="Style19"/>
    <w:pPr>
      <w:keepNext/>
      <w:spacing w:before="240" w:after="120"/>
    </w:pPr>
    <w:rPr>
      <w:rFonts w:ascii="Liberation Sans" w:hAnsi="Liberation Sans" w:eastAsia="Tahoma" w:cs="Lohit Devanagari"/>
      <w:sz w:val="28"/>
      <w:szCs w:val="28"/>
    </w:rPr>
  </w:style>
  <w:style w:type="paragraph" w:styleId="Style19">
    <w:name w:val="Основной текст"/>
    <w:basedOn w:val="Normal"/>
    <w:link w:val="a6"/>
    <w:rsid w:val="006d1a14"/>
    <w:pPr>
      <w:widowControl w:val="false"/>
      <w:suppressAutoHyphens w:val="true"/>
      <w:spacing w:lineRule="auto" w:line="240" w:before="0" w:after="120"/>
      <w:jc w:val="left"/>
    </w:pPr>
    <w:rPr>
      <w:rFonts w:ascii="Times New Roman" w:hAnsi="Times New Roman" w:eastAsia="Lucida Sans Unicode" w:cs="Tahoma"/>
      <w:color w:val="000000"/>
      <w:sz w:val="24"/>
      <w:szCs w:val="24"/>
      <w:lang w:val="en-US" w:bidi="en-US"/>
    </w:rPr>
  </w:style>
  <w:style w:type="paragraph" w:styleId="Style20">
    <w:name w:val="Список"/>
    <w:basedOn w:val="Style19"/>
    <w:pPr/>
    <w:rPr>
      <w:rFonts w:cs="Lohit Devanagari"/>
    </w:rPr>
  </w:style>
  <w:style w:type="paragraph" w:styleId="Style21">
    <w:name w:val="Название"/>
    <w:basedOn w:val="Normal"/>
    <w:pPr>
      <w:suppressLineNumbers/>
      <w:spacing w:before="120" w:after="120"/>
    </w:pPr>
    <w:rPr>
      <w:rFonts w:cs="Lohit Devanagari"/>
      <w:i/>
      <w:iCs/>
      <w:sz w:val="24"/>
      <w:szCs w:val="24"/>
    </w:rPr>
  </w:style>
  <w:style w:type="paragraph" w:styleId="Style22">
    <w:name w:val="Указатель"/>
    <w:basedOn w:val="Normal"/>
    <w:pPr>
      <w:suppressLineNumbers/>
    </w:pPr>
    <w:rPr>
      <w:rFonts w:cs="Lohit Devanagari"/>
    </w:rPr>
  </w:style>
  <w:style w:type="paragraph" w:styleId="1" w:customStyle="1">
    <w:name w:val="Основной текст1"/>
    <w:basedOn w:val="Normal"/>
    <w:rsid w:val="006d1a14"/>
    <w:pPr>
      <w:widowControl w:val="false"/>
      <w:shd w:fill="FFFFFF" w:val="clear"/>
      <w:spacing w:lineRule="exact" w:line="324" w:before="0" w:after="300"/>
      <w:jc w:val="center"/>
    </w:pPr>
    <w:rPr>
      <w:rFonts w:ascii="Times New Roman" w:hAnsi="Times New Roman" w:eastAsia="Times New Roman" w:cs="Tahoma"/>
      <w:color w:val="000000"/>
      <w:sz w:val="28"/>
      <w:szCs w:val="28"/>
      <w:lang w:val="en-US" w:bidi="en-US"/>
    </w:rPr>
  </w:style>
  <w:style w:type="paragraph" w:styleId="2">
    <w:name w:val="Основной текст2"/>
    <w:basedOn w:val="Normal"/>
    <w:pPr>
      <w:shd w:fill="FFFFFF" w:val="clear"/>
      <w:suppressAutoHyphens w:val="false"/>
      <w:spacing w:lineRule="exact" w:line="322"/>
      <w:jc w:val="center"/>
    </w:pPr>
    <w:rPr>
      <w:rFonts w:ascii="Times New Roman" w:hAnsi="Times New Roman" w:eastAsia="Times New Roman" w:cs="Times New Roman"/>
      <w:b/>
      <w:bCs/>
      <w:sz w:val="26"/>
      <w:szCs w:val="26"/>
      <w:lang w:val="en-US"/>
    </w:rPr>
  </w:style>
  <w:style w:type="paragraph" w:styleId="ConsPlusNormal">
    <w:name w:val="ConsPlusNormal"/>
    <w:pPr>
      <w:widowControl/>
      <w:suppressAutoHyphens w:val="true"/>
      <w:bidi w:val="0"/>
      <w:spacing w:lineRule="auto" w:line="120"/>
      <w:jc w:val="both"/>
    </w:pPr>
    <w:rPr>
      <w:rFonts w:ascii="Arial" w:hAnsi="Arial" w:eastAsia="Arial" w:cs="Arial"/>
      <w:color w:val="00000A"/>
      <w:sz w:val="20"/>
      <w:szCs w:val="20"/>
      <w:lang w:val="ru-RU" w:eastAsia="zh-CN" w:bidi="ar-SA"/>
    </w:rPr>
  </w:style>
  <w:style w:type="numbering" w:styleId="NoList" w:default="1">
    <w:name w:val="No List"/>
    <w:uiPriority w:val="99"/>
    <w:semiHidden/>
    <w:unhideWhenUsed/>
  </w:style>
  <w:style w:type="table" w:default="1" w:styleId="a1">
    <w:name w:val="Normal Table"/>
    <w:uiPriority w:val="99"/>
    <w:semiHidden/>
    <w:unhideWhenUsed/>
    <w:qFormat/>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6B598-C0A4-47E0-97B1-F65333773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Application>LibreOffice/4.3.7.2$Linux_X86_64 LibreOffice_project/430$Build-2</Application>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2019-01-23T12:04:00Z</dcterms:created>
  <dc:creator>Ivanov_V_A</dc:creator>
  <dc:language>ru-RU</dc:language>
  <cp:lastPrinted>2020-07-23T12:21:32Z</cp:lastPrinted>
  <dcterms:modified xsi:type="dcterms:W3CDTF">2020-07-23T12:21:39Z</dcterms:modified>
  <cp:revision>17</cp:revision>
</cp:coreProperties>
</file>